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AC" w:rsidRDefault="003647AC" w:rsidP="003647AC">
      <w:pPr>
        <w:ind w:left="900"/>
      </w:pPr>
      <w:r>
        <w:rPr>
          <w:noProof/>
        </w:rPr>
        <mc:AlternateContent>
          <mc:Choice Requires="wps">
            <w:drawing>
              <wp:anchor distT="0" distB="0" distL="114300" distR="114300" simplePos="0" relativeHeight="251659264" behindDoc="0" locked="0" layoutInCell="1" allowOverlap="1" wp14:anchorId="7A399D5C" wp14:editId="0F56C5F7">
                <wp:simplePos x="0" y="0"/>
                <wp:positionH relativeFrom="column">
                  <wp:posOffset>1618615</wp:posOffset>
                </wp:positionH>
                <wp:positionV relativeFrom="paragraph">
                  <wp:posOffset>304800</wp:posOffset>
                </wp:positionV>
                <wp:extent cx="4581525" cy="655320"/>
                <wp:effectExtent l="0" t="0" r="0" b="11430"/>
                <wp:wrapNone/>
                <wp:docPr id="1" name="Text Box 1"/>
                <wp:cNvGraphicFramePr/>
                <a:graphic xmlns:a="http://schemas.openxmlformats.org/drawingml/2006/main">
                  <a:graphicData uri="http://schemas.microsoft.com/office/word/2010/wordprocessingShape">
                    <wps:wsp>
                      <wps:cNvSpPr txBox="1"/>
                      <wps:spPr>
                        <a:xfrm>
                          <a:off x="0" y="0"/>
                          <a:ext cx="4581525" cy="655320"/>
                        </a:xfrm>
                        <a:prstGeom prst="rect">
                          <a:avLst/>
                        </a:prstGeom>
                        <a:noFill/>
                        <a:ln>
                          <a:noFill/>
                        </a:ln>
                        <a:effectLst/>
                      </wps:spPr>
                      <wps:txbx>
                        <w:txbxContent>
                          <w:p w:rsidR="003647AC" w:rsidRPr="003647AC" w:rsidRDefault="003647AC" w:rsidP="003647AC">
                            <w:pPr>
                              <w:ind w:left="900"/>
                              <w:jc w:val="cente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SCHOLARSHIPS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A399D5C" id="_x0000_t202" coordsize="21600,21600" o:spt="202" path="m,l,21600r21600,l21600,xe">
                <v:stroke joinstyle="miter"/>
                <v:path gradientshapeok="t" o:connecttype="rect"/>
              </v:shapetype>
              <v:shape id="Text Box 1" o:spid="_x0000_s1026" type="#_x0000_t202" style="position:absolute;left:0;text-align:left;margin-left:127.45pt;margin-top:24pt;width:360.7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" filled="f" stroked="f">
                <v:fill o:detectmouseclick="t"/>
                <v:textbox>
                  <w:txbxContent>
                    <w:p w:rsidR="003647AC" w:rsidRPr="003647AC" w:rsidRDefault="003647AC" w:rsidP="003647AC">
                      <w:pPr>
                        <w:ind w:left="900"/>
                        <w:jc w:val="cente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SCHOLARSHIPS</w:t>
                      </w:r>
                    </w:p>
                  </w:txbxContent>
                </v:textbox>
              </v:shape>
            </w:pict>
          </mc:Fallback>
        </mc:AlternateContent>
      </w:r>
      <w:r>
        <w:rPr>
          <w:b/>
          <w:noProof/>
          <w:sz w:val="72"/>
          <w:szCs w:val="72"/>
        </w:rPr>
        <w:drawing>
          <wp:inline distT="0" distB="0" distL="0" distR="0" wp14:anchorId="5B106B66" wp14:editId="1FF503C5">
            <wp:extent cx="1326673" cy="1326673"/>
            <wp:effectExtent l="0" t="0" r="6985" b="6985"/>
            <wp:docPr id="2" name="Picture 2" descr="C:\Users\mcutrona\AppData\Local\Microsoft\Windows\Temporary Internet Files\Content.IE5\SPM5Y02H\future-educ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utrona\AppData\Local\Microsoft\Windows\Temporary Internet Files\Content.IE5\SPM5Y02H\future-education[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6673" cy="1326673"/>
                    </a:xfrm>
                    <a:prstGeom prst="rect">
                      <a:avLst/>
                    </a:prstGeom>
                    <a:noFill/>
                    <a:ln>
                      <a:noFill/>
                    </a:ln>
                  </pic:spPr>
                </pic:pic>
              </a:graphicData>
            </a:graphic>
          </wp:inline>
        </w:drawing>
      </w:r>
    </w:p>
    <w:p w:rsidR="003647AC" w:rsidRPr="003647AC" w:rsidRDefault="003647AC" w:rsidP="003647AC">
      <w:pPr>
        <w:ind w:left="900"/>
        <w:rPr>
          <w:b/>
          <w:color w:val="FF0000"/>
        </w:rPr>
      </w:pPr>
      <w:r w:rsidRPr="003647AC">
        <w:rPr>
          <w:b/>
          <w:color w:val="FF0000"/>
        </w:rPr>
        <w:t>Scholarship applications will be available the 3</w:t>
      </w:r>
      <w:r w:rsidRPr="003647AC">
        <w:rPr>
          <w:b/>
          <w:color w:val="FF0000"/>
          <w:vertAlign w:val="superscript"/>
        </w:rPr>
        <w:t>rd</w:t>
      </w:r>
      <w:r w:rsidRPr="003647AC">
        <w:rPr>
          <w:b/>
          <w:color w:val="FF0000"/>
        </w:rPr>
        <w:t xml:space="preserve"> week of January and must be turned in the 3</w:t>
      </w:r>
      <w:r w:rsidRPr="003647AC">
        <w:rPr>
          <w:b/>
          <w:color w:val="FF0000"/>
          <w:vertAlign w:val="superscript"/>
        </w:rPr>
        <w:t>rd</w:t>
      </w:r>
      <w:r w:rsidRPr="003647AC">
        <w:rPr>
          <w:b/>
          <w:color w:val="FF0000"/>
        </w:rPr>
        <w:t xml:space="preserve"> week of March.  Eligible candidates must have completed and turned in a scholarship application.</w:t>
      </w:r>
    </w:p>
    <w:p w:rsidR="003647AC" w:rsidRPr="003647AC" w:rsidRDefault="003647AC" w:rsidP="003647AC">
      <w:pPr>
        <w:ind w:left="900"/>
        <w:rPr>
          <w:b/>
          <w:color w:val="FF0000"/>
        </w:rPr>
      </w:pPr>
    </w:p>
    <w:p w:rsidR="003647AC" w:rsidRPr="00223C9F" w:rsidRDefault="003647AC" w:rsidP="003647AC">
      <w:pPr>
        <w:ind w:left="900"/>
      </w:pPr>
      <w:r w:rsidRPr="003647AC">
        <w:rPr>
          <w:b/>
          <w:color w:val="FF0000"/>
        </w:rPr>
        <w:t>Students who are actively involved in any campus club and who meet all the requirements specified under each scholarship are eligible to receive an</w:t>
      </w:r>
      <w:r>
        <w:rPr>
          <w:b/>
          <w:color w:val="FF0000"/>
        </w:rPr>
        <w:t>y</w:t>
      </w:r>
      <w:bookmarkStart w:id="0" w:name="_GoBack"/>
      <w:bookmarkEnd w:id="0"/>
      <w:r w:rsidRPr="003647AC">
        <w:rPr>
          <w:b/>
          <w:color w:val="FF0000"/>
        </w:rPr>
        <w:t xml:space="preserve"> of the following ASB scholarships</w:t>
      </w:r>
      <w:r>
        <w:t>:</w:t>
      </w:r>
    </w:p>
    <w:p w:rsidR="003647AC" w:rsidRPr="002D2D4C" w:rsidRDefault="003647AC" w:rsidP="003647AC"/>
    <w:p w:rsidR="003647AC" w:rsidRDefault="003647AC" w:rsidP="003647AC">
      <w:pPr>
        <w:numPr>
          <w:ilvl w:val="0"/>
          <w:numId w:val="1"/>
        </w:numPr>
        <w:tabs>
          <w:tab w:val="clear" w:pos="1800"/>
          <w:tab w:val="num" w:pos="540"/>
        </w:tabs>
        <w:ind w:left="900"/>
      </w:pPr>
      <w:r w:rsidRPr="007721F7">
        <w:rPr>
          <w:b/>
        </w:rPr>
        <w:t>ASB Academic Excellence Scholarship:</w:t>
      </w:r>
      <w:r>
        <w:t xml:space="preserve"> The recipient must be transferring to a four-year institution. The recipient must have a 3.5 or higher cumulative grade point average for all classes taken at </w:t>
      </w:r>
      <w:smartTag w:uri="urn:schemas-microsoft-com:office:smarttags" w:element="place">
        <w:smartTag w:uri="urn:schemas-microsoft-com:office:smarttags" w:element="PlaceName">
          <w:r>
            <w:t>Taft</w:t>
          </w:r>
        </w:smartTag>
        <w:r>
          <w:t xml:space="preserve"> </w:t>
        </w:r>
        <w:smartTag w:uri="urn:schemas-microsoft-com:office:smarttags" w:element="PlaceType">
          <w:r>
            <w:t>College</w:t>
          </w:r>
        </w:smartTag>
      </w:smartTag>
      <w:r>
        <w:t xml:space="preserve"> as of the fall semester before graduation. Academic excellence of the student shall be the primary selection criteria.</w:t>
      </w:r>
    </w:p>
    <w:p w:rsidR="003647AC" w:rsidRDefault="003647AC" w:rsidP="003647AC">
      <w:pPr>
        <w:ind w:left="900"/>
      </w:pPr>
    </w:p>
    <w:p w:rsidR="003647AC" w:rsidRPr="00223C9F" w:rsidRDefault="003647AC" w:rsidP="003647AC">
      <w:pPr>
        <w:numPr>
          <w:ilvl w:val="0"/>
          <w:numId w:val="1"/>
        </w:numPr>
        <w:tabs>
          <w:tab w:val="clear" w:pos="1800"/>
          <w:tab w:val="num" w:pos="540"/>
        </w:tabs>
        <w:ind w:left="900"/>
      </w:pPr>
      <w:r w:rsidRPr="00223C9F">
        <w:rPr>
          <w:b/>
        </w:rPr>
        <w:t>ASB Athletic Achievement &amp; Excellence Scholarship:</w:t>
      </w:r>
      <w:r w:rsidRPr="00223C9F">
        <w:t xml:space="preserve"> The recipient must have been an active member of a Taft College athletic team for two consecutive years. The recipient must be transferring to a four-year institution to continue athletically and academically. The recipient must have a 3.0 or higher cumulative grade point average for all classes taken at Taft College as of the fall semester before graduation and be a positive, competitive member on their team.  Letter from coaches are recommended for this scholarship.</w:t>
      </w:r>
    </w:p>
    <w:p w:rsidR="003647AC" w:rsidRPr="00223C9F" w:rsidRDefault="003647AC" w:rsidP="003647AC">
      <w:pPr>
        <w:ind w:left="900"/>
      </w:pPr>
    </w:p>
    <w:p w:rsidR="003647AC" w:rsidRPr="00223C9F" w:rsidRDefault="003647AC" w:rsidP="003647AC">
      <w:pPr>
        <w:numPr>
          <w:ilvl w:val="0"/>
          <w:numId w:val="1"/>
        </w:numPr>
        <w:tabs>
          <w:tab w:val="clear" w:pos="1800"/>
          <w:tab w:val="num" w:pos="540"/>
        </w:tabs>
        <w:ind w:left="900"/>
      </w:pPr>
      <w:r w:rsidRPr="00223C9F">
        <w:rPr>
          <w:b/>
        </w:rPr>
        <w:t>ASB Financial Need Scholarship:</w:t>
      </w:r>
      <w:r w:rsidRPr="00223C9F">
        <w:t xml:space="preserve"> The recipient must be transferring to a four-year institution. The recipient must have a 2.5 or higher cumulative grade point average for all classes taken at Taft College as of the fall semester before graduation. Financial need of the student shall be the primary selection criteria.</w:t>
      </w:r>
    </w:p>
    <w:p w:rsidR="003647AC" w:rsidRPr="00223C9F" w:rsidRDefault="003647AC" w:rsidP="003647AC">
      <w:pPr>
        <w:ind w:left="900"/>
      </w:pPr>
    </w:p>
    <w:p w:rsidR="003647AC" w:rsidRPr="00223C9F" w:rsidRDefault="003647AC" w:rsidP="003647AC">
      <w:pPr>
        <w:numPr>
          <w:ilvl w:val="0"/>
          <w:numId w:val="1"/>
        </w:numPr>
        <w:tabs>
          <w:tab w:val="clear" w:pos="1800"/>
          <w:tab w:val="num" w:pos="540"/>
        </w:tabs>
        <w:ind w:left="900"/>
      </w:pPr>
      <w:r w:rsidRPr="00223C9F">
        <w:rPr>
          <w:b/>
        </w:rPr>
        <w:t>ASB Scholarship:</w:t>
      </w:r>
      <w:r w:rsidRPr="00223C9F">
        <w:t xml:space="preserve"> The recipient must be transferring to a four-year institution. The recipient must have a 2.5 or higher cumulative grade point average for all classes taken at Taft College as of the fall semester before graduation. Financial need of the student shall not be used as selection criteria. Applicants must include recommendation from a Taft College Faculty member to be considered for this scholarship.</w:t>
      </w:r>
    </w:p>
    <w:p w:rsidR="003647AC" w:rsidRPr="00223C9F" w:rsidRDefault="003647AC" w:rsidP="003647AC">
      <w:pPr>
        <w:ind w:left="900"/>
      </w:pPr>
    </w:p>
    <w:p w:rsidR="003647AC" w:rsidRPr="00223C9F" w:rsidRDefault="003647AC" w:rsidP="003647AC">
      <w:pPr>
        <w:numPr>
          <w:ilvl w:val="0"/>
          <w:numId w:val="1"/>
        </w:numPr>
        <w:tabs>
          <w:tab w:val="clear" w:pos="1800"/>
          <w:tab w:val="num" w:pos="540"/>
        </w:tabs>
        <w:ind w:left="900"/>
      </w:pPr>
      <w:r w:rsidRPr="00223C9F">
        <w:rPr>
          <w:b/>
        </w:rPr>
        <w:t>ASB Active Club Member Scholarships (2)</w:t>
      </w:r>
      <w:r w:rsidRPr="00223C9F">
        <w:t>:  The recipient must be actively involved in a campus clubs and shall be nominated by a club advisor.  The recipient must have a minimum 2.5 GPA and be in good standing with the college and community.  The student must show community service hours.</w:t>
      </w:r>
    </w:p>
    <w:p w:rsidR="003647AC" w:rsidRPr="00184A2E" w:rsidRDefault="003647AC" w:rsidP="003647AC">
      <w:pPr>
        <w:pStyle w:val="ListParagraph"/>
      </w:pPr>
    </w:p>
    <w:p w:rsidR="007B74C0" w:rsidRDefault="003647AC"/>
    <w:p w:rsidR="003647AC" w:rsidRDefault="003647AC"/>
    <w:sectPr w:rsidR="003647AC" w:rsidSect="00223C9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31E10"/>
    <w:multiLevelType w:val="hybridMultilevel"/>
    <w:tmpl w:val="357E7308"/>
    <w:lvl w:ilvl="0" w:tplc="5C3A6F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AC"/>
    <w:rsid w:val="003647AC"/>
    <w:rsid w:val="004A4E12"/>
    <w:rsid w:val="00E9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6F07705-0857-409D-B9A9-545A80FF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7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Cutrona</dc:creator>
  <cp:keywords/>
  <dc:description/>
  <cp:lastModifiedBy>Angelo Cutrona</cp:lastModifiedBy>
  <cp:revision>1</cp:revision>
  <dcterms:created xsi:type="dcterms:W3CDTF">2016-12-19T23:52:00Z</dcterms:created>
  <dcterms:modified xsi:type="dcterms:W3CDTF">2016-12-19T23:57:00Z</dcterms:modified>
</cp:coreProperties>
</file>