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0C0D" w14:textId="77777777"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14:paraId="312C2976" w14:textId="77777777" w:rsidR="0090001C" w:rsidRDefault="0090001C" w:rsidP="0090001C">
      <w:pPr>
        <w:spacing w:after="0" w:line="240" w:lineRule="auto"/>
      </w:pPr>
    </w:p>
    <w:p w14:paraId="063F6C70" w14:textId="77777777"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To Guide—201</w:t>
      </w:r>
      <w:r w:rsidR="0014517B">
        <w:t>8</w:t>
      </w:r>
      <w:r w:rsidR="00A91CF7">
        <w:t>-201</w:t>
      </w:r>
      <w:r w:rsidR="0014517B">
        <w:t>9</w:t>
      </w:r>
    </w:p>
    <w:p w14:paraId="4A2FACA0" w14:textId="77777777"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14:paraId="333D74B0" w14:textId="77777777" w:rsidTr="004355E1">
        <w:trPr>
          <w:jc w:val="center"/>
        </w:trPr>
        <w:tc>
          <w:tcPr>
            <w:tcW w:w="10800" w:type="dxa"/>
            <w:shd w:val="clear" w:color="auto" w:fill="FFFFCC"/>
          </w:tcPr>
          <w:p w14:paraId="21FE48D9" w14:textId="77777777"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14:paraId="57B26531" w14:textId="77777777" w:rsidR="00C01C25" w:rsidRPr="00C01C25" w:rsidRDefault="00C01C25" w:rsidP="00CF1A0D">
      <w:pPr>
        <w:spacing w:after="0" w:line="240" w:lineRule="auto"/>
      </w:pPr>
    </w:p>
    <w:p w14:paraId="71E10029" w14:textId="77777777"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14:paraId="5FD00C4B" w14:textId="77777777"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14:paraId="514138B1" w14:textId="77777777" w:rsidTr="00C01C25">
        <w:trPr>
          <w:jc w:val="center"/>
        </w:trPr>
        <w:tc>
          <w:tcPr>
            <w:tcW w:w="10800" w:type="dxa"/>
          </w:tcPr>
          <w:p w14:paraId="4B748C8F" w14:textId="0C73E91F" w:rsidR="00C01C25" w:rsidRPr="002E0D26" w:rsidRDefault="002E0D26" w:rsidP="00CF1A0D">
            <w:pPr>
              <w:rPr>
                <w:rFonts w:ascii="Century Gothic" w:hAnsi="Century Gothic" w:cstheme="minorHAnsi"/>
              </w:rPr>
            </w:pPr>
            <w:r w:rsidRPr="002E0D26">
              <w:rPr>
                <w:rFonts w:ascii="Century Gothic" w:hAnsi="Century Gothic" w:cstheme="minorHAnsi"/>
              </w:rPr>
              <w:t xml:space="preserve">English </w:t>
            </w:r>
          </w:p>
        </w:tc>
      </w:tr>
    </w:tbl>
    <w:p w14:paraId="4E28C9F9" w14:textId="77777777"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F1A0D" w14:paraId="15409D03" w14:textId="77777777" w:rsidTr="00C03029">
        <w:tc>
          <w:tcPr>
            <w:tcW w:w="5508" w:type="dxa"/>
          </w:tcPr>
          <w:p w14:paraId="0DD92FF9" w14:textId="77777777"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14:paraId="33738490" w14:textId="77777777" w:rsidTr="00C03029">
              <w:trPr>
                <w:jc w:val="center"/>
              </w:trPr>
              <w:tc>
                <w:tcPr>
                  <w:tcW w:w="5184" w:type="dxa"/>
                </w:tcPr>
                <w:p w14:paraId="6012271E" w14:textId="77777777" w:rsidR="00CF1A0D" w:rsidRDefault="00CF1A0D" w:rsidP="00CF1A0D"/>
              </w:tc>
            </w:tr>
          </w:tbl>
          <w:p w14:paraId="71B159E8" w14:textId="77777777" w:rsidR="00CF1A0D" w:rsidRDefault="00CF1A0D" w:rsidP="00CF1A0D"/>
        </w:tc>
        <w:tc>
          <w:tcPr>
            <w:tcW w:w="5508" w:type="dxa"/>
          </w:tcPr>
          <w:p w14:paraId="3BD31211" w14:textId="77777777"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14:paraId="2B68E886" w14:textId="77777777"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14:paraId="77E696F2" w14:textId="77777777" w:rsidTr="00C03029">
              <w:trPr>
                <w:jc w:val="center"/>
              </w:trPr>
              <w:tc>
                <w:tcPr>
                  <w:tcW w:w="5184" w:type="dxa"/>
                </w:tcPr>
                <w:p w14:paraId="72AD280E" w14:textId="7D5506D0" w:rsidR="00CF1A0D" w:rsidRPr="002E0D26" w:rsidRDefault="002E0D26" w:rsidP="00CF1A0D">
                  <w:pPr>
                    <w:rPr>
                      <w:rFonts w:ascii="Century Gothic" w:hAnsi="Century Gothic"/>
                    </w:rPr>
                  </w:pPr>
                  <w:r w:rsidRPr="002E0D26">
                    <w:rPr>
                      <w:rFonts w:ascii="Century Gothic" w:hAnsi="Century Gothic"/>
                    </w:rPr>
                    <w:t xml:space="preserve">Kamala Carlson </w:t>
                  </w:r>
                </w:p>
              </w:tc>
            </w:tr>
          </w:tbl>
          <w:p w14:paraId="6439B77A" w14:textId="77777777" w:rsidR="00CF1A0D" w:rsidRDefault="00CF1A0D" w:rsidP="00CF1A0D"/>
        </w:tc>
      </w:tr>
    </w:tbl>
    <w:p w14:paraId="6AD43FD3" w14:textId="77777777"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3429D" w14:paraId="2FB8C6BD" w14:textId="77777777" w:rsidTr="00096685">
        <w:tc>
          <w:tcPr>
            <w:tcW w:w="5508" w:type="dxa"/>
          </w:tcPr>
          <w:p w14:paraId="6BA16348" w14:textId="77777777"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14:paraId="296AB512" w14:textId="77777777"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14:paraId="15F253EA" w14:textId="77777777" w:rsidTr="00690ACD">
              <w:trPr>
                <w:jc w:val="center"/>
              </w:trPr>
              <w:tc>
                <w:tcPr>
                  <w:tcW w:w="5184" w:type="dxa"/>
                </w:tcPr>
                <w:p w14:paraId="7DB14D60" w14:textId="732B0D4D" w:rsidR="0083429D" w:rsidRPr="002E0D26" w:rsidRDefault="002E0D26" w:rsidP="00690ACD">
                  <w:pPr>
                    <w:rPr>
                      <w:rFonts w:ascii="Century Gothic" w:hAnsi="Century Gothic"/>
                    </w:rPr>
                  </w:pPr>
                  <w:r w:rsidRPr="002E0D26">
                    <w:rPr>
                      <w:rFonts w:ascii="Century Gothic" w:hAnsi="Century Gothic"/>
                    </w:rPr>
                    <w:t xml:space="preserve">New English Faculty </w:t>
                  </w:r>
                </w:p>
              </w:tc>
            </w:tr>
          </w:tbl>
          <w:p w14:paraId="0C89EB30" w14:textId="77777777" w:rsidR="0083429D" w:rsidRDefault="0083429D" w:rsidP="0083429D"/>
        </w:tc>
        <w:tc>
          <w:tcPr>
            <w:tcW w:w="5508" w:type="dxa"/>
          </w:tcPr>
          <w:p w14:paraId="2210463D" w14:textId="77777777"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14:paraId="656355AB" w14:textId="77777777" w:rsidR="0083429D" w:rsidRDefault="0083429D" w:rsidP="0083429D"/>
          <w:p w14:paraId="2EDA7436" w14:textId="4FEE9341" w:rsidR="0083429D" w:rsidRDefault="002E0D26" w:rsidP="0083429D">
            <w:r>
              <w:t>X</w:t>
            </w:r>
            <w:r w:rsidR="0083429D">
              <w:t xml:space="preserve"> Continuing from Last Year</w:t>
            </w:r>
          </w:p>
          <w:p w14:paraId="0DA91576" w14:textId="77777777" w:rsidR="0083429D" w:rsidRDefault="0083429D" w:rsidP="0083429D">
            <w:r>
              <w:sym w:font="Wingdings" w:char="F071"/>
            </w:r>
            <w:r>
              <w:t xml:space="preserve"> New This Year</w:t>
            </w:r>
          </w:p>
          <w:p w14:paraId="2AA8FB2D" w14:textId="77777777"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14:paraId="5EAD0EE2" w14:textId="77777777" w:rsidR="0083429D" w:rsidRDefault="0083429D" w:rsidP="0083429D">
      <w:pPr>
        <w:spacing w:after="0" w:line="240" w:lineRule="auto"/>
      </w:pPr>
    </w:p>
    <w:p w14:paraId="3020E638" w14:textId="77777777"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14:paraId="792CBE51" w14:textId="77777777" w:rsidR="002F3D78" w:rsidRDefault="002F3D78" w:rsidP="00A91CF7">
      <w:pPr>
        <w:spacing w:after="0" w:line="240" w:lineRule="auto"/>
      </w:pPr>
    </w:p>
    <w:p w14:paraId="448E30AC" w14:textId="77777777"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14:paraId="1DEE0B15" w14:textId="77777777"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14:paraId="4791433B" w14:textId="77777777" w:rsidTr="00542157">
        <w:trPr>
          <w:jc w:val="center"/>
        </w:trPr>
        <w:tc>
          <w:tcPr>
            <w:tcW w:w="4779" w:type="dxa"/>
          </w:tcPr>
          <w:p w14:paraId="502BDAE0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14:paraId="3D78B0B2" w14:textId="5507CB9C" w:rsidR="00E949D7" w:rsidRPr="007E734F" w:rsidRDefault="002E0D26" w:rsidP="003C182E">
            <w:pPr>
              <w:ind w:left="180"/>
            </w:pPr>
            <w:r>
              <w:t>X</w:t>
            </w:r>
            <w:r w:rsidR="00E949D7" w:rsidRPr="007E734F">
              <w:t xml:space="preserve"> </w:t>
            </w:r>
            <w:r w:rsidR="00E949D7">
              <w:t>Strategic Action Plan</w:t>
            </w:r>
          </w:p>
          <w:p w14:paraId="5A1F7707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14:paraId="042623A2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14:paraId="4631BA65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14:paraId="7CC88589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14:paraId="33B7D899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14:paraId="2EFD3AED" w14:textId="77777777"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14:paraId="43CA6BAA" w14:textId="77777777"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14:paraId="2ACD0C8C" w14:textId="77777777" w:rsidR="00E949D7" w:rsidRDefault="00E949D7" w:rsidP="00A91CF7">
      <w:pPr>
        <w:spacing w:after="0" w:line="240" w:lineRule="auto"/>
      </w:pPr>
    </w:p>
    <w:p w14:paraId="17670FBC" w14:textId="77777777"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14:paraId="67D34D9A" w14:textId="77777777"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14:paraId="459C2DE1" w14:textId="77777777" w:rsidTr="004355E1">
        <w:trPr>
          <w:jc w:val="center"/>
        </w:trPr>
        <w:tc>
          <w:tcPr>
            <w:tcW w:w="10800" w:type="dxa"/>
          </w:tcPr>
          <w:p w14:paraId="3054F087" w14:textId="77777777" w:rsidR="00E949D7" w:rsidRDefault="00E949D7" w:rsidP="00652BE7"/>
        </w:tc>
      </w:tr>
    </w:tbl>
    <w:p w14:paraId="1398EB7B" w14:textId="77777777" w:rsidR="002F3D78" w:rsidRDefault="002F3D78" w:rsidP="00A91CF7">
      <w:pPr>
        <w:spacing w:after="0" w:line="240" w:lineRule="auto"/>
      </w:pPr>
    </w:p>
    <w:p w14:paraId="6C8E7FE2" w14:textId="77777777"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14:paraId="31CCF5C4" w14:textId="77777777"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14:paraId="729A55D2" w14:textId="77777777" w:rsidTr="00CF1A0D">
        <w:trPr>
          <w:trHeight w:val="1152"/>
          <w:jc w:val="center"/>
        </w:trPr>
        <w:tc>
          <w:tcPr>
            <w:tcW w:w="10800" w:type="dxa"/>
          </w:tcPr>
          <w:p w14:paraId="4B2E5BC3" w14:textId="77777777" w:rsidR="00972410" w:rsidRDefault="00972410" w:rsidP="009724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SAP—Lagging Indicator #2 Increase transfer, Leading Indicator #1 Increase course success rates, Leading Indicator #2 Increase fall to spring persistence rates, and Leading Indicator #3 New students successfully completing transfer level English </w:t>
            </w:r>
          </w:p>
          <w:p w14:paraId="1EFD3300" w14:textId="037B8788" w:rsidR="00953D69" w:rsidRPr="002E0D26" w:rsidRDefault="00953D69" w:rsidP="00972410">
            <w:pPr>
              <w:rPr>
                <w:rFonts w:ascii="Century Gothic" w:hAnsi="Century Gothic"/>
              </w:rPr>
            </w:pPr>
          </w:p>
        </w:tc>
      </w:tr>
    </w:tbl>
    <w:p w14:paraId="25DB5CCA" w14:textId="77777777" w:rsidR="004355E1" w:rsidRDefault="004355E1" w:rsidP="00A91CF7">
      <w:pPr>
        <w:spacing w:after="0" w:line="240" w:lineRule="auto"/>
      </w:pPr>
    </w:p>
    <w:p w14:paraId="6B8382D4" w14:textId="77777777"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14:paraId="2F3EE9DD" w14:textId="77777777" w:rsidR="002F3D78" w:rsidRPr="00270045" w:rsidRDefault="002F3D78" w:rsidP="002F3D78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RPr="00270045" w14:paraId="3B220E95" w14:textId="77777777" w:rsidTr="00CF1A0D">
        <w:trPr>
          <w:trHeight w:val="1152"/>
          <w:jc w:val="center"/>
        </w:trPr>
        <w:tc>
          <w:tcPr>
            <w:tcW w:w="10800" w:type="dxa"/>
          </w:tcPr>
          <w:p w14:paraId="2F2124BF" w14:textId="604AC3E1" w:rsidR="0014517B" w:rsidRPr="00270045" w:rsidRDefault="00972410" w:rsidP="001451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Goals in new SAP do not have objectives (see page 11 of “How to Guide”).</w:t>
            </w:r>
            <w:bookmarkStart w:id="0" w:name="_GoBack"/>
            <w:bookmarkEnd w:id="0"/>
          </w:p>
          <w:p w14:paraId="258B81B0" w14:textId="77777777" w:rsidR="0014517B" w:rsidRPr="00270045" w:rsidRDefault="0014517B" w:rsidP="0014517B">
            <w:pPr>
              <w:rPr>
                <w:rFonts w:ascii="Century Gothic" w:hAnsi="Century Gothic"/>
              </w:rPr>
            </w:pPr>
          </w:p>
          <w:p w14:paraId="73FB0FA8" w14:textId="77777777" w:rsidR="0014517B" w:rsidRPr="00270045" w:rsidRDefault="0014517B" w:rsidP="0014517B">
            <w:pPr>
              <w:rPr>
                <w:rFonts w:ascii="Century Gothic" w:hAnsi="Century Gothic"/>
              </w:rPr>
            </w:pPr>
          </w:p>
          <w:p w14:paraId="01948E41" w14:textId="77777777" w:rsidR="002F3D78" w:rsidRPr="00270045" w:rsidRDefault="002F3D78" w:rsidP="0014517B">
            <w:pPr>
              <w:jc w:val="right"/>
              <w:rPr>
                <w:rFonts w:ascii="Century Gothic" w:hAnsi="Century Gothic"/>
              </w:rPr>
            </w:pPr>
          </w:p>
        </w:tc>
      </w:tr>
      <w:tr w:rsidR="00AB7219" w:rsidRPr="00AA6037" w14:paraId="33728177" w14:textId="7777777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14:paraId="24964219" w14:textId="77777777"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14:paraId="4ADD778A" w14:textId="77777777" w:rsidR="00AB7219" w:rsidRDefault="00AB7219" w:rsidP="002E66AE">
      <w:pPr>
        <w:spacing w:after="0" w:line="240" w:lineRule="auto"/>
      </w:pPr>
    </w:p>
    <w:p w14:paraId="2D3FC3A6" w14:textId="77777777"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14:paraId="02417AF8" w14:textId="77777777" w:rsidR="005D1DF5" w:rsidRPr="005D1DF5" w:rsidRDefault="005D1DF5" w:rsidP="00ED5982">
      <w:pPr>
        <w:spacing w:after="0" w:line="240" w:lineRule="auto"/>
      </w:pPr>
    </w:p>
    <w:p w14:paraId="25173065" w14:textId="77777777"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14:paraId="05A8644B" w14:textId="77777777" w:rsidR="005D1DF5" w:rsidRDefault="005D1DF5" w:rsidP="00ED5982">
      <w:pPr>
        <w:spacing w:after="0" w:line="240" w:lineRule="auto"/>
      </w:pPr>
    </w:p>
    <w:p w14:paraId="281C544F" w14:textId="0B5EA531"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 w:rsidR="002E0D26">
        <w:t>X</w:t>
      </w:r>
      <w:r>
        <w:t xml:space="preserve"> Student Achievement Outcome (SAO)</w:t>
      </w:r>
    </w:p>
    <w:p w14:paraId="61DB23FA" w14:textId="77777777"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>
        <w:sym w:font="Wingdings" w:char="F071"/>
      </w:r>
      <w:r>
        <w:t xml:space="preserve"> Program Effectiveness Measures (PEM)</w:t>
      </w:r>
    </w:p>
    <w:p w14:paraId="2F002063" w14:textId="77777777"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14:paraId="32E74564" w14:textId="77777777" w:rsidR="005D1DF5" w:rsidRPr="005D1DF5" w:rsidRDefault="005D1DF5" w:rsidP="00ED5982">
      <w:pPr>
        <w:spacing w:after="0" w:line="240" w:lineRule="auto"/>
      </w:pPr>
    </w:p>
    <w:p w14:paraId="6D5DD57B" w14:textId="77777777"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14:paraId="43D3CCD0" w14:textId="77777777" w:rsidR="002E66AE" w:rsidRDefault="002E66AE" w:rsidP="002C3AA6">
      <w:pPr>
        <w:spacing w:after="0" w:line="240" w:lineRule="auto"/>
        <w:rPr>
          <w:lang w:val="en"/>
        </w:rPr>
      </w:pPr>
    </w:p>
    <w:p w14:paraId="2F652E97" w14:textId="77777777"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14:paraId="57B92754" w14:textId="77777777"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659B7E4C" w14:textId="77777777" w:rsidTr="005D1DF5">
        <w:trPr>
          <w:trHeight w:val="3312"/>
          <w:jc w:val="center"/>
        </w:trPr>
        <w:tc>
          <w:tcPr>
            <w:tcW w:w="10800" w:type="dxa"/>
          </w:tcPr>
          <w:p w14:paraId="104ED3A8" w14:textId="14DEF86E" w:rsidR="002E0D26" w:rsidRPr="002E0D26" w:rsidRDefault="002E0D26" w:rsidP="002E0D26">
            <w:pPr>
              <w:rPr>
                <w:rFonts w:ascii="Century Gothic" w:eastAsia="Times New Roman" w:hAnsi="Century Gothic" w:cs="Arial"/>
              </w:rPr>
            </w:pPr>
            <w:r w:rsidRPr="002E0D26">
              <w:rPr>
                <w:rFonts w:ascii="Century Gothic" w:eastAsia="Times New Roman" w:hAnsi="Century Gothic" w:cs="Arial"/>
              </w:rPr>
              <w:t>A full</w:t>
            </w:r>
            <w:r>
              <w:rPr>
                <w:rFonts w:ascii="Century Gothic" w:eastAsia="Times New Roman" w:hAnsi="Century Gothic" w:cs="Arial"/>
              </w:rPr>
              <w:t>-</w:t>
            </w:r>
            <w:r w:rsidRPr="002E0D26">
              <w:rPr>
                <w:rFonts w:ascii="Century Gothic" w:eastAsia="Times New Roman" w:hAnsi="Century Gothic" w:cs="Arial"/>
              </w:rPr>
              <w:t>time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  <w:r w:rsidRPr="002E0D26">
              <w:rPr>
                <w:rFonts w:ascii="Century Gothic" w:eastAsia="Times New Roman" w:hAnsi="Century Gothic" w:cs="Arial"/>
              </w:rPr>
              <w:t>tenure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  <w:r w:rsidRPr="002E0D26">
              <w:rPr>
                <w:rFonts w:ascii="Century Gothic" w:eastAsia="Times New Roman" w:hAnsi="Century Gothic" w:cs="Arial"/>
              </w:rPr>
              <w:t>track English faculty would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  <w:r w:rsidRPr="002E0D26">
              <w:rPr>
                <w:rFonts w:ascii="Century Gothic" w:eastAsia="Times New Roman" w:hAnsi="Century Gothic" w:cs="Arial"/>
              </w:rPr>
              <w:t>have the time to be fully invested in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  <w:r w:rsidRPr="002E0D26">
              <w:rPr>
                <w:rFonts w:ascii="Century Gothic" w:eastAsia="Times New Roman" w:hAnsi="Century Gothic" w:cs="Arial"/>
              </w:rPr>
              <w:t>the development</w:t>
            </w:r>
          </w:p>
          <w:p w14:paraId="05B3220C" w14:textId="30433F4F" w:rsidR="002E0D26" w:rsidRPr="002E0D26" w:rsidRDefault="002E0D26" w:rsidP="002E0D26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o</w:t>
            </w:r>
            <w:r w:rsidRPr="002E0D26">
              <w:rPr>
                <w:rFonts w:ascii="Century Gothic" w:eastAsia="Times New Roman" w:hAnsi="Century Gothic" w:cs="Arial"/>
              </w:rPr>
              <w:t>f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  <w:r w:rsidRPr="002E0D26">
              <w:rPr>
                <w:rFonts w:ascii="Century Gothic" w:eastAsia="Times New Roman" w:hAnsi="Century Gothic" w:cs="Arial"/>
              </w:rPr>
              <w:t xml:space="preserve">student success. The implementation of AB 705 is time intensive and will take creative ways to </w:t>
            </w:r>
          </w:p>
          <w:p w14:paraId="442DD377" w14:textId="5864EFDB" w:rsidR="002E0D26" w:rsidRPr="002E0D26" w:rsidRDefault="002E0D26" w:rsidP="002E0D26">
            <w:pPr>
              <w:rPr>
                <w:rFonts w:ascii="Century Gothic" w:eastAsia="Times New Roman" w:hAnsi="Century Gothic" w:cs="Arial"/>
              </w:rPr>
            </w:pPr>
            <w:r w:rsidRPr="002E0D26">
              <w:rPr>
                <w:rFonts w:ascii="Century Gothic" w:eastAsia="Times New Roman" w:hAnsi="Century Gothic" w:cs="Arial"/>
              </w:rPr>
              <w:t>increase student success</w:t>
            </w:r>
            <w:r w:rsidR="00270045">
              <w:rPr>
                <w:rFonts w:ascii="Century Gothic" w:eastAsia="Times New Roman" w:hAnsi="Century Gothic" w:cs="Arial"/>
              </w:rPr>
              <w:t xml:space="preserve"> in transfer level English when many of those students need a basic skills course</w:t>
            </w:r>
            <w:r>
              <w:rPr>
                <w:rFonts w:ascii="Century Gothic" w:eastAsia="Times New Roman" w:hAnsi="Century Gothic" w:cs="Arial"/>
              </w:rPr>
              <w:t>.</w:t>
            </w:r>
          </w:p>
          <w:p w14:paraId="75269E80" w14:textId="77777777" w:rsidR="002C3AA6" w:rsidRDefault="002C3AA6" w:rsidP="00F056DD"/>
        </w:tc>
      </w:tr>
    </w:tbl>
    <w:p w14:paraId="194915BC" w14:textId="77777777" w:rsidR="00F258EA" w:rsidRPr="005D1DF5" w:rsidRDefault="00F258EA" w:rsidP="00ED5982">
      <w:pPr>
        <w:spacing w:after="0" w:line="240" w:lineRule="auto"/>
      </w:pPr>
    </w:p>
    <w:p w14:paraId="23D384E5" w14:textId="77777777"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14:paraId="049E167E" w14:textId="77777777" w:rsidR="00BC2943" w:rsidRPr="00BC2943" w:rsidRDefault="00BC2943" w:rsidP="002C3AA6">
      <w:pPr>
        <w:spacing w:after="0" w:line="240" w:lineRule="auto"/>
      </w:pPr>
    </w:p>
    <w:p w14:paraId="3FD19652" w14:textId="77777777"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14:paraId="6680AA9E" w14:textId="77777777"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3547F42A" w14:textId="77777777" w:rsidTr="005D1DF5">
        <w:trPr>
          <w:trHeight w:val="3456"/>
          <w:jc w:val="center"/>
        </w:trPr>
        <w:tc>
          <w:tcPr>
            <w:tcW w:w="10800" w:type="dxa"/>
          </w:tcPr>
          <w:p w14:paraId="13289B21" w14:textId="4C60CCF5" w:rsidR="00073241" w:rsidRPr="00073241" w:rsidRDefault="00073241" w:rsidP="00073241">
            <w:pPr>
              <w:rPr>
                <w:rFonts w:ascii="Century Gothic" w:eastAsia="Times New Roman" w:hAnsi="Century Gothic" w:cs="Arial"/>
              </w:rPr>
            </w:pPr>
            <w:r w:rsidRPr="00073241">
              <w:rPr>
                <w:rFonts w:ascii="Century Gothic" w:eastAsia="Times New Roman" w:hAnsi="Century Gothic" w:cs="Arial"/>
              </w:rPr>
              <w:t xml:space="preserve">The English and Language Arts faculty followed the process for requesting a new English faculty </w:t>
            </w:r>
          </w:p>
          <w:p w14:paraId="0AA2E983" w14:textId="12CFF24A" w:rsidR="00073241" w:rsidRPr="00073241" w:rsidRDefault="00073241" w:rsidP="00073241">
            <w:pPr>
              <w:rPr>
                <w:rFonts w:ascii="Century Gothic" w:eastAsia="Times New Roman" w:hAnsi="Century Gothic" w:cs="Arial"/>
              </w:rPr>
            </w:pPr>
            <w:r w:rsidRPr="00073241">
              <w:rPr>
                <w:rFonts w:ascii="Century Gothic" w:eastAsia="Times New Roman" w:hAnsi="Century Gothic" w:cs="Arial"/>
              </w:rPr>
              <w:t>at Academic Senate</w:t>
            </w:r>
            <w:r>
              <w:rPr>
                <w:rFonts w:ascii="Century Gothic" w:eastAsia="Times New Roman" w:hAnsi="Century Gothic" w:cs="Arial"/>
              </w:rPr>
              <w:t>.</w:t>
            </w:r>
          </w:p>
          <w:p w14:paraId="711E5FA3" w14:textId="77777777" w:rsidR="002C3AA6" w:rsidRDefault="002C3AA6" w:rsidP="00DE441E"/>
        </w:tc>
      </w:tr>
    </w:tbl>
    <w:p w14:paraId="246EC427" w14:textId="77777777"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14:paraId="53C799B8" w14:textId="77777777" w:rsidTr="00542157">
        <w:trPr>
          <w:jc w:val="center"/>
        </w:trPr>
        <w:tc>
          <w:tcPr>
            <w:tcW w:w="10800" w:type="dxa"/>
            <w:shd w:val="clear" w:color="auto" w:fill="FFFFCC"/>
          </w:tcPr>
          <w:p w14:paraId="4867DE4A" w14:textId="77777777"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14:paraId="2B6103B5" w14:textId="77777777" w:rsidR="00AB7219" w:rsidRDefault="00AB7219" w:rsidP="00390ED7">
      <w:pPr>
        <w:spacing w:after="0" w:line="240" w:lineRule="auto"/>
        <w:rPr>
          <w:lang w:val="en"/>
        </w:rPr>
      </w:pPr>
    </w:p>
    <w:p w14:paraId="43D804C1" w14:textId="77777777"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14:paraId="513B3D53" w14:textId="77777777" w:rsidR="004373D9" w:rsidRDefault="004373D9" w:rsidP="00ED5982">
      <w:pPr>
        <w:spacing w:after="0" w:line="240" w:lineRule="auto"/>
      </w:pPr>
    </w:p>
    <w:p w14:paraId="68AC717E" w14:textId="77777777"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14:paraId="3A8ACE88" w14:textId="77777777"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14:paraId="45557AC4" w14:textId="77777777" w:rsidTr="00542157">
        <w:trPr>
          <w:jc w:val="center"/>
        </w:trPr>
        <w:tc>
          <w:tcPr>
            <w:tcW w:w="4788" w:type="dxa"/>
          </w:tcPr>
          <w:p w14:paraId="7A22167D" w14:textId="547EB586" w:rsidR="00155C8C" w:rsidRDefault="00073241" w:rsidP="004C2EC1">
            <w:pPr>
              <w:ind w:left="180"/>
            </w:pPr>
            <w:r>
              <w:t>X</w:t>
            </w:r>
            <w:r w:rsidR="00155C8C">
              <w:t xml:space="preserve"> Personnel: Faculty</w:t>
            </w:r>
          </w:p>
          <w:p w14:paraId="08C5A682" w14:textId="77777777"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14:paraId="21918EB0" w14:textId="77777777"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14:paraId="681BB806" w14:textId="77777777"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14:paraId="0A6F9FF7" w14:textId="77777777"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14:paraId="77587BC7" w14:textId="77777777"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14:paraId="18917236" w14:textId="77777777"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14:paraId="1ED75145" w14:textId="77777777"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14:paraId="7B537B9B" w14:textId="77777777" w:rsidR="00F258EA" w:rsidRDefault="00F258EA" w:rsidP="00ED5982">
      <w:pPr>
        <w:spacing w:after="0" w:line="240" w:lineRule="auto"/>
      </w:pPr>
    </w:p>
    <w:p w14:paraId="4CB9D14F" w14:textId="77777777"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14:paraId="0F9FA20A" w14:textId="77777777" w:rsidR="002C3AA6" w:rsidRDefault="002C3AA6" w:rsidP="002C3AA6">
      <w:pPr>
        <w:spacing w:after="0" w:line="240" w:lineRule="auto"/>
      </w:pPr>
    </w:p>
    <w:p w14:paraId="7A18010B" w14:textId="77777777"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14:paraId="05ECF1AB" w14:textId="77777777"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0DFBCC60" w14:textId="77777777" w:rsidTr="00542157">
        <w:trPr>
          <w:trHeight w:val="4176"/>
          <w:jc w:val="center"/>
        </w:trPr>
        <w:tc>
          <w:tcPr>
            <w:tcW w:w="10800" w:type="dxa"/>
          </w:tcPr>
          <w:p w14:paraId="6DFFEB89" w14:textId="0F5BB0D7" w:rsidR="002C3AA6" w:rsidRPr="00073241" w:rsidRDefault="00073241" w:rsidP="00DE44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General funds </w:t>
            </w:r>
            <w:r w:rsidRPr="00073241">
              <w:rPr>
                <w:rFonts w:ascii="Century Gothic" w:hAnsi="Century Gothic"/>
              </w:rPr>
              <w:t xml:space="preserve"> </w:t>
            </w:r>
          </w:p>
        </w:tc>
      </w:tr>
    </w:tbl>
    <w:p w14:paraId="0FDC3E0B" w14:textId="77777777" w:rsidR="000F0CF0" w:rsidRDefault="000F0CF0" w:rsidP="00ED5982">
      <w:pPr>
        <w:spacing w:after="0" w:line="240" w:lineRule="auto"/>
        <w:rPr>
          <w:lang w:val="en"/>
        </w:rPr>
      </w:pPr>
    </w:p>
    <w:p w14:paraId="0F44E432" w14:textId="77777777"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>One Time Start Up Costs:</w:t>
      </w:r>
    </w:p>
    <w:p w14:paraId="60F30E7B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1D9EDDBD" w14:textId="77777777" w:rsidTr="00542157">
        <w:trPr>
          <w:jc w:val="center"/>
        </w:trPr>
        <w:tc>
          <w:tcPr>
            <w:tcW w:w="10800" w:type="dxa"/>
          </w:tcPr>
          <w:p w14:paraId="677F66FD" w14:textId="3C915A0B" w:rsidR="002C3AA6" w:rsidRPr="00073241" w:rsidRDefault="00073241" w:rsidP="00DE441E">
            <w:pPr>
              <w:rPr>
                <w:rFonts w:ascii="Century Gothic" w:hAnsi="Century Gothic"/>
              </w:rPr>
            </w:pPr>
            <w:r w:rsidRPr="00073241">
              <w:rPr>
                <w:rFonts w:ascii="Century Gothic" w:hAnsi="Century Gothic"/>
              </w:rPr>
              <w:t xml:space="preserve">0 cost start up </w:t>
            </w:r>
          </w:p>
        </w:tc>
      </w:tr>
    </w:tbl>
    <w:p w14:paraId="72AD6FBA" w14:textId="77777777" w:rsidR="002C3AA6" w:rsidRDefault="002C3AA6" w:rsidP="002C3AA6">
      <w:pPr>
        <w:spacing w:after="0" w:line="240" w:lineRule="auto"/>
      </w:pPr>
    </w:p>
    <w:p w14:paraId="02A42B22" w14:textId="77777777"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14:paraId="6F1774DD" w14:textId="77777777"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6A1D75C0" w14:textId="77777777" w:rsidTr="00542157">
        <w:trPr>
          <w:jc w:val="center"/>
        </w:trPr>
        <w:tc>
          <w:tcPr>
            <w:tcW w:w="10800" w:type="dxa"/>
          </w:tcPr>
          <w:p w14:paraId="71EB475C" w14:textId="6DDBF61F" w:rsidR="002C3AA6" w:rsidRPr="00AA02C7" w:rsidRDefault="00AA02C7" w:rsidP="00DE441E">
            <w:pPr>
              <w:rPr>
                <w:rFonts w:ascii="Century Gothic" w:eastAsia="Times New Roman" w:hAnsi="Century Gothic" w:cs="Arial"/>
              </w:rPr>
            </w:pPr>
            <w:r w:rsidRPr="00AA02C7">
              <w:rPr>
                <w:rFonts w:ascii="Century Gothic" w:eastAsia="Times New Roman" w:hAnsi="Century Gothic" w:cs="Arial"/>
              </w:rPr>
              <w:t>$95,000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  <w:r w:rsidRPr="00AA02C7">
              <w:rPr>
                <w:rFonts w:ascii="Century Gothic" w:eastAsia="Times New Roman" w:hAnsi="Century Gothic" w:cs="Arial"/>
              </w:rPr>
              <w:t>-149,000</w:t>
            </w:r>
          </w:p>
        </w:tc>
      </w:tr>
    </w:tbl>
    <w:p w14:paraId="073B4528" w14:textId="77777777" w:rsidR="00C85B1E" w:rsidRPr="00C85B1E" w:rsidRDefault="00C85B1E" w:rsidP="00ED5982">
      <w:pPr>
        <w:spacing w:after="0" w:line="240" w:lineRule="auto"/>
      </w:pPr>
    </w:p>
    <w:p w14:paraId="07D8D36C" w14:textId="77777777"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14:paraId="24337914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7AB1370B" w14:textId="77777777" w:rsidTr="00542157">
        <w:trPr>
          <w:jc w:val="center"/>
        </w:trPr>
        <w:tc>
          <w:tcPr>
            <w:tcW w:w="10800" w:type="dxa"/>
          </w:tcPr>
          <w:p w14:paraId="65B8B97F" w14:textId="36EB83E5" w:rsidR="002C3AA6" w:rsidRPr="00AA02C7" w:rsidRDefault="00AA02C7" w:rsidP="00DE441E">
            <w:pPr>
              <w:rPr>
                <w:rFonts w:ascii="Century Gothic" w:eastAsia="Times New Roman" w:hAnsi="Century Gothic" w:cs="Arial"/>
              </w:rPr>
            </w:pPr>
            <w:r w:rsidRPr="00AA02C7">
              <w:rPr>
                <w:rFonts w:ascii="Century Gothic" w:eastAsia="Times New Roman" w:hAnsi="Century Gothic" w:cs="Arial"/>
              </w:rPr>
              <w:t>$525,000 - 800,000</w:t>
            </w:r>
          </w:p>
        </w:tc>
      </w:tr>
    </w:tbl>
    <w:p w14:paraId="7B998F23" w14:textId="77777777" w:rsidR="00593617" w:rsidRDefault="00593617" w:rsidP="00ED5982">
      <w:pPr>
        <w:spacing w:after="0" w:line="240" w:lineRule="auto"/>
      </w:pPr>
    </w:p>
    <w:p w14:paraId="4D153284" w14:textId="77777777"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14:paraId="413FD515" w14:textId="77777777"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14:paraId="17F0B8B5" w14:textId="77777777" w:rsidTr="00542157">
        <w:trPr>
          <w:jc w:val="center"/>
        </w:trPr>
        <w:tc>
          <w:tcPr>
            <w:tcW w:w="10800" w:type="dxa"/>
          </w:tcPr>
          <w:p w14:paraId="48DE6C62" w14:textId="105D9590" w:rsidR="009C737E" w:rsidRPr="00AA02C7" w:rsidRDefault="00AA02C7" w:rsidP="00DA7BA3">
            <w:pPr>
              <w:rPr>
                <w:rFonts w:ascii="Century Gothic" w:hAnsi="Century Gothic"/>
              </w:rPr>
            </w:pPr>
            <w:r w:rsidRPr="00AA02C7">
              <w:rPr>
                <w:rFonts w:ascii="Century Gothic" w:hAnsi="Century Gothic"/>
              </w:rPr>
              <w:t>General funds</w:t>
            </w:r>
          </w:p>
        </w:tc>
      </w:tr>
      <w:tr w:rsidR="009C737E" w:rsidRPr="00AA6037" w14:paraId="2D30AE2F" w14:textId="7777777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14:paraId="08EAA7B6" w14:textId="77777777"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14:paraId="3F971C56" w14:textId="77777777" w:rsidR="009C737E" w:rsidRDefault="009C737E" w:rsidP="009C737E">
      <w:pPr>
        <w:spacing w:after="0" w:line="240" w:lineRule="auto"/>
        <w:rPr>
          <w:lang w:val="en"/>
        </w:rPr>
      </w:pPr>
    </w:p>
    <w:p w14:paraId="2326F239" w14:textId="77777777"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14:paraId="28274C86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16B569C0" w14:textId="77777777" w:rsidTr="00936D3F">
        <w:trPr>
          <w:jc w:val="center"/>
        </w:trPr>
        <w:tc>
          <w:tcPr>
            <w:tcW w:w="10800" w:type="dxa"/>
          </w:tcPr>
          <w:p w14:paraId="06AF8607" w14:textId="4D993073" w:rsidR="002C3AA6" w:rsidRPr="00AA02C7" w:rsidRDefault="00AA02C7" w:rsidP="00DE441E">
            <w:pPr>
              <w:rPr>
                <w:rFonts w:ascii="Century Gothic" w:hAnsi="Century Gothic"/>
              </w:rPr>
            </w:pPr>
            <w:r w:rsidRPr="00AA02C7">
              <w:rPr>
                <w:rFonts w:ascii="Century Gothic" w:hAnsi="Century Gothic"/>
              </w:rPr>
              <w:t xml:space="preserve">Fall 2019 </w:t>
            </w:r>
          </w:p>
        </w:tc>
      </w:tr>
    </w:tbl>
    <w:p w14:paraId="48A6AEDC" w14:textId="77777777" w:rsidR="00593617" w:rsidRDefault="00593617" w:rsidP="00ED5982">
      <w:pPr>
        <w:spacing w:after="0" w:line="240" w:lineRule="auto"/>
      </w:pPr>
    </w:p>
    <w:p w14:paraId="3D8F0C08" w14:textId="77777777"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14:paraId="33CD6E24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0DBF95F8" w14:textId="77777777" w:rsidTr="00936D3F">
        <w:trPr>
          <w:jc w:val="center"/>
        </w:trPr>
        <w:tc>
          <w:tcPr>
            <w:tcW w:w="10800" w:type="dxa"/>
          </w:tcPr>
          <w:p w14:paraId="6B072FBF" w14:textId="77777777" w:rsidR="002C3AA6" w:rsidRDefault="002C3AA6" w:rsidP="00DE441E"/>
        </w:tc>
      </w:tr>
    </w:tbl>
    <w:p w14:paraId="09E90E02" w14:textId="77777777" w:rsidR="00593617" w:rsidRDefault="00593617" w:rsidP="00ED5982">
      <w:pPr>
        <w:spacing w:after="0" w:line="240" w:lineRule="auto"/>
      </w:pPr>
    </w:p>
    <w:p w14:paraId="4CCB1E12" w14:textId="77777777"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>ith No Expected Completion Date?</w:t>
      </w:r>
    </w:p>
    <w:p w14:paraId="274D6CFC" w14:textId="77777777" w:rsidR="0064263C" w:rsidRPr="0064263C" w:rsidRDefault="0064263C" w:rsidP="00ED5982">
      <w:pPr>
        <w:spacing w:after="0" w:line="240" w:lineRule="auto"/>
      </w:pPr>
    </w:p>
    <w:p w14:paraId="605ACE38" w14:textId="5AE3D08A" w:rsidR="00ED5982" w:rsidRDefault="00AA02C7" w:rsidP="0064263C">
      <w:pPr>
        <w:spacing w:after="0" w:line="240" w:lineRule="auto"/>
        <w:ind w:left="720"/>
      </w:pPr>
      <w:r>
        <w:t>X</w:t>
      </w:r>
      <w:r w:rsidR="0064263C">
        <w:t xml:space="preserve"> Yes</w:t>
      </w:r>
    </w:p>
    <w:p w14:paraId="16A62FE9" w14:textId="77777777"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14:paraId="0088B0E6" w14:textId="77777777" w:rsidR="003104A6" w:rsidRDefault="003104A6" w:rsidP="00ED5982">
      <w:pPr>
        <w:spacing w:after="0" w:line="240" w:lineRule="auto"/>
      </w:pPr>
    </w:p>
    <w:p w14:paraId="16F72453" w14:textId="77777777"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>or College Areas be Impacted?</w:t>
      </w:r>
    </w:p>
    <w:p w14:paraId="2239438C" w14:textId="77777777" w:rsidR="0064263C" w:rsidRPr="0064263C" w:rsidRDefault="0064263C" w:rsidP="00ED5982">
      <w:pPr>
        <w:spacing w:after="0" w:line="240" w:lineRule="auto"/>
      </w:pPr>
    </w:p>
    <w:p w14:paraId="09E1041A" w14:textId="77777777"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14:paraId="1867180D" w14:textId="2FDB05FB" w:rsidR="0064263C" w:rsidRDefault="00AA02C7" w:rsidP="0064263C">
      <w:pPr>
        <w:spacing w:after="0" w:line="240" w:lineRule="auto"/>
        <w:ind w:left="720"/>
      </w:pPr>
      <w:r>
        <w:t>X</w:t>
      </w:r>
      <w:r w:rsidR="0064263C">
        <w:t xml:space="preserve"> No</w:t>
      </w:r>
    </w:p>
    <w:p w14:paraId="46126834" w14:textId="77777777" w:rsidR="003104A6" w:rsidRDefault="003104A6" w:rsidP="00ED5982">
      <w:pPr>
        <w:spacing w:after="0" w:line="240" w:lineRule="auto"/>
      </w:pPr>
    </w:p>
    <w:p w14:paraId="4B345AEF" w14:textId="77777777"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Yes,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14:paraId="32916249" w14:textId="77777777"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14:paraId="1ED6D627" w14:textId="77777777" w:rsidTr="00032F1E">
        <w:trPr>
          <w:trHeight w:val="720"/>
          <w:jc w:val="center"/>
        </w:trPr>
        <w:tc>
          <w:tcPr>
            <w:tcW w:w="10800" w:type="dxa"/>
          </w:tcPr>
          <w:p w14:paraId="4B462281" w14:textId="77777777" w:rsidR="00AA02C7" w:rsidRPr="00AA02C7" w:rsidRDefault="00AA02C7" w:rsidP="00AA02C7">
            <w:pPr>
              <w:rPr>
                <w:rFonts w:ascii="Century Gothic" w:eastAsia="Times New Roman" w:hAnsi="Century Gothic" w:cs="Arial"/>
              </w:rPr>
            </w:pPr>
            <w:r w:rsidRPr="00AA02C7">
              <w:rPr>
                <w:rFonts w:ascii="Century Gothic" w:eastAsia="Times New Roman" w:hAnsi="Century Gothic" w:cs="Arial"/>
              </w:rPr>
              <w:t xml:space="preserve">Students with increased literacy skills will perform better in courses offered in other Divisions, thereby </w:t>
            </w:r>
          </w:p>
          <w:p w14:paraId="0E744DBC" w14:textId="630230A3" w:rsidR="00EB5CD0" w:rsidRPr="00AA02C7" w:rsidRDefault="00AA02C7" w:rsidP="003D353A">
            <w:pPr>
              <w:rPr>
                <w:rFonts w:ascii="Century Gothic" w:eastAsia="Times New Roman" w:hAnsi="Century Gothic" w:cs="Arial"/>
              </w:rPr>
            </w:pPr>
            <w:r w:rsidRPr="00AA02C7">
              <w:rPr>
                <w:rFonts w:ascii="Century Gothic" w:eastAsia="Times New Roman" w:hAnsi="Century Gothic" w:cs="Arial"/>
              </w:rPr>
              <w:t>improving their outcomes</w:t>
            </w:r>
            <w:r>
              <w:rPr>
                <w:rFonts w:ascii="Century Gothic" w:eastAsia="Times New Roman" w:hAnsi="Century Gothic" w:cs="Arial"/>
              </w:rPr>
              <w:t>.</w:t>
            </w:r>
          </w:p>
        </w:tc>
      </w:tr>
    </w:tbl>
    <w:p w14:paraId="32E25A21" w14:textId="77777777" w:rsidR="00EB5CD0" w:rsidRDefault="00EB5CD0" w:rsidP="00ED5982">
      <w:pPr>
        <w:spacing w:after="0" w:line="240" w:lineRule="auto"/>
      </w:pPr>
    </w:p>
    <w:p w14:paraId="30A8742A" w14:textId="77777777"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14:paraId="497D305F" w14:textId="77777777"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680CE695" w14:textId="77777777" w:rsidTr="00032F1E">
        <w:trPr>
          <w:trHeight w:val="4176"/>
          <w:jc w:val="center"/>
        </w:trPr>
        <w:tc>
          <w:tcPr>
            <w:tcW w:w="10800" w:type="dxa"/>
          </w:tcPr>
          <w:p w14:paraId="62B5806E" w14:textId="77777777" w:rsidR="002C3AA6" w:rsidRDefault="002C3AA6" w:rsidP="00DE441E"/>
        </w:tc>
      </w:tr>
    </w:tbl>
    <w:p w14:paraId="51F6CE2D" w14:textId="77777777" w:rsidR="00336FF8" w:rsidRDefault="00336FF8" w:rsidP="00593617">
      <w:pPr>
        <w:spacing w:after="0" w:line="240" w:lineRule="auto"/>
        <w:contextualSpacing/>
      </w:pPr>
    </w:p>
    <w:p w14:paraId="04506B58" w14:textId="77777777"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14:paraId="1C32BE07" w14:textId="77777777"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14:paraId="5610FAD5" w14:textId="77777777" w:rsidTr="00232921">
        <w:trPr>
          <w:jc w:val="center"/>
        </w:trPr>
        <w:tc>
          <w:tcPr>
            <w:tcW w:w="10800" w:type="dxa"/>
          </w:tcPr>
          <w:p w14:paraId="61B0C8B7" w14:textId="2A59C51D" w:rsidR="002C3AA6" w:rsidRPr="00AA02C7" w:rsidRDefault="00AA02C7" w:rsidP="00DE441E">
            <w:pPr>
              <w:rPr>
                <w:rFonts w:ascii="Century Gothic" w:hAnsi="Century Gothic"/>
              </w:rPr>
            </w:pPr>
            <w:r w:rsidRPr="00AA02C7">
              <w:rPr>
                <w:rFonts w:ascii="Century Gothic" w:hAnsi="Century Gothic"/>
              </w:rPr>
              <w:t>1.</w:t>
            </w:r>
          </w:p>
        </w:tc>
      </w:tr>
    </w:tbl>
    <w:p w14:paraId="64739BDD" w14:textId="77777777"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8"/>
      <w:footerReference w:type="default" r:id="rId9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57DC1" w14:textId="77777777" w:rsidR="0032534A" w:rsidRDefault="0032534A" w:rsidP="006B3110">
      <w:pPr>
        <w:spacing w:after="0" w:line="240" w:lineRule="auto"/>
      </w:pPr>
      <w:r>
        <w:separator/>
      </w:r>
    </w:p>
  </w:endnote>
  <w:endnote w:type="continuationSeparator" w:id="0">
    <w:p w14:paraId="3B657465" w14:textId="77777777" w:rsidR="0032534A" w:rsidRDefault="0032534A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0CE66" w14:textId="77777777"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14:paraId="36AAE830" w14:textId="77777777"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03F4" w14:textId="77777777" w:rsidR="0032534A" w:rsidRDefault="0032534A" w:rsidP="006B3110">
      <w:pPr>
        <w:spacing w:after="0" w:line="240" w:lineRule="auto"/>
      </w:pPr>
      <w:r>
        <w:separator/>
      </w:r>
    </w:p>
  </w:footnote>
  <w:footnote w:type="continuationSeparator" w:id="0">
    <w:p w14:paraId="1F3CEEA2" w14:textId="77777777" w:rsidR="0032534A" w:rsidRDefault="0032534A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ECEE" w14:textId="77777777"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972410">
      <w:rPr>
        <w:noProof/>
        <w:sz w:val="20"/>
        <w:szCs w:val="20"/>
        <w:u w:val="single"/>
      </w:rPr>
      <w:t>2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972410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73241"/>
    <w:rsid w:val="0009225A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70045"/>
    <w:rsid w:val="002B2713"/>
    <w:rsid w:val="002C3AA6"/>
    <w:rsid w:val="002E018E"/>
    <w:rsid w:val="002E0D26"/>
    <w:rsid w:val="002E66AE"/>
    <w:rsid w:val="002F3CBD"/>
    <w:rsid w:val="002F3D78"/>
    <w:rsid w:val="0030058D"/>
    <w:rsid w:val="00303AB9"/>
    <w:rsid w:val="003104A6"/>
    <w:rsid w:val="003104B3"/>
    <w:rsid w:val="0032534A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530635"/>
    <w:rsid w:val="005414D5"/>
    <w:rsid w:val="00542157"/>
    <w:rsid w:val="00543745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0DC0"/>
    <w:rsid w:val="007C7AC2"/>
    <w:rsid w:val="007E734F"/>
    <w:rsid w:val="0083429D"/>
    <w:rsid w:val="00836F6C"/>
    <w:rsid w:val="00846407"/>
    <w:rsid w:val="00881D50"/>
    <w:rsid w:val="00884762"/>
    <w:rsid w:val="008B4C18"/>
    <w:rsid w:val="008C403E"/>
    <w:rsid w:val="0090001C"/>
    <w:rsid w:val="00911E1A"/>
    <w:rsid w:val="00912D95"/>
    <w:rsid w:val="00936D3F"/>
    <w:rsid w:val="00953D69"/>
    <w:rsid w:val="00972410"/>
    <w:rsid w:val="009C737E"/>
    <w:rsid w:val="009F4997"/>
    <w:rsid w:val="00A245C2"/>
    <w:rsid w:val="00A578A0"/>
    <w:rsid w:val="00A91CF7"/>
    <w:rsid w:val="00AA02C7"/>
    <w:rsid w:val="00AA6027"/>
    <w:rsid w:val="00AB1BF6"/>
    <w:rsid w:val="00AB71A1"/>
    <w:rsid w:val="00AB7219"/>
    <w:rsid w:val="00AC139A"/>
    <w:rsid w:val="00AF39C4"/>
    <w:rsid w:val="00B205AC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DE47BA"/>
    <w:rsid w:val="00E20155"/>
    <w:rsid w:val="00E30D7A"/>
    <w:rsid w:val="00E43075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20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Geoffrey Dyer</cp:lastModifiedBy>
  <cp:revision>2</cp:revision>
  <cp:lastPrinted>2016-07-21T15:39:00Z</cp:lastPrinted>
  <dcterms:created xsi:type="dcterms:W3CDTF">2019-01-24T20:48:00Z</dcterms:created>
  <dcterms:modified xsi:type="dcterms:W3CDTF">2019-01-24T20:48:00Z</dcterms:modified>
</cp:coreProperties>
</file>