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F51456" w:rsidP="0090001C">
            <w:r>
              <w:t>PRES Foundation</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64150F" w:rsidP="00306783">
            <w:r>
              <w:t>Sheri Horn-Bunk</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F51456" w:rsidRPr="00F51456" w:rsidRDefault="00F51456" w:rsidP="00F51456">
            <w:pPr>
              <w:rPr>
                <w:b/>
              </w:rPr>
            </w:pPr>
            <w:r w:rsidRPr="00F51456">
              <w:rPr>
                <w:b/>
              </w:rPr>
              <w:t>PROCESS</w:t>
            </w:r>
          </w:p>
          <w:p w:rsidR="00F51456" w:rsidRPr="00F51456" w:rsidRDefault="00F51456" w:rsidP="00F51456">
            <w:pPr>
              <w:rPr>
                <w:b/>
              </w:rPr>
            </w:pPr>
            <w:r w:rsidRPr="00F51456">
              <w:rPr>
                <w:b/>
              </w:rPr>
              <w:t>The Foundation is dedicated to maximizing support from the private sector through:</w:t>
            </w:r>
          </w:p>
          <w:p w:rsidR="00F51456" w:rsidRPr="00F51456" w:rsidRDefault="00F51456" w:rsidP="00F51456">
            <w:pPr>
              <w:rPr>
                <w:b/>
              </w:rPr>
            </w:pPr>
            <w:r w:rsidRPr="00F51456">
              <w:rPr>
                <w:b/>
              </w:rPr>
              <w:t>• Endowment development and expansion of existing gifts;</w:t>
            </w:r>
          </w:p>
          <w:p w:rsidR="00F51456" w:rsidRPr="00F51456" w:rsidRDefault="00F51456" w:rsidP="00F51456">
            <w:pPr>
              <w:rPr>
                <w:b/>
              </w:rPr>
            </w:pPr>
            <w:r w:rsidRPr="00F51456">
              <w:rPr>
                <w:b/>
              </w:rPr>
              <w:t>• Investment in approved Taft College programs;</w:t>
            </w:r>
          </w:p>
          <w:p w:rsidR="00F51456" w:rsidRPr="00F51456" w:rsidRDefault="00F51456" w:rsidP="00F51456">
            <w:pPr>
              <w:rPr>
                <w:b/>
              </w:rPr>
            </w:pPr>
            <w:r w:rsidRPr="00F51456">
              <w:rPr>
                <w:b/>
              </w:rPr>
              <w:t>• Creation of additional instruments of giving;</w:t>
            </w:r>
          </w:p>
          <w:p w:rsidR="00F51456" w:rsidRPr="00F51456" w:rsidRDefault="00F51456" w:rsidP="00F51456">
            <w:pPr>
              <w:rPr>
                <w:b/>
              </w:rPr>
            </w:pPr>
            <w:r w:rsidRPr="00F51456">
              <w:rPr>
                <w:b/>
              </w:rPr>
              <w:t>• Management of infrastructure and services supporting these efforts; and</w:t>
            </w:r>
          </w:p>
          <w:p w:rsidR="00F51456" w:rsidRPr="00F51456" w:rsidRDefault="00F51456" w:rsidP="00F51456">
            <w:pPr>
              <w:rPr>
                <w:b/>
              </w:rPr>
            </w:pPr>
            <w:r w:rsidRPr="00F51456">
              <w:rPr>
                <w:b/>
              </w:rPr>
              <w:t>• Maintenance and expansion of alumni and donor databases.</w:t>
            </w:r>
          </w:p>
          <w:p w:rsidR="00F51456" w:rsidRPr="00F51456" w:rsidRDefault="00F51456" w:rsidP="00F51456">
            <w:pPr>
              <w:rPr>
                <w:b/>
              </w:rPr>
            </w:pPr>
            <w:r w:rsidRPr="00F51456">
              <w:rPr>
                <w:b/>
              </w:rPr>
              <w:t>The Foundation works with all members of Taft College.</w:t>
            </w:r>
          </w:p>
          <w:p w:rsidR="00F51456" w:rsidRPr="00F51456" w:rsidRDefault="00F51456" w:rsidP="00F51456">
            <w:pPr>
              <w:rPr>
                <w:b/>
              </w:rPr>
            </w:pPr>
            <w:r w:rsidRPr="00F51456">
              <w:rPr>
                <w:b/>
              </w:rPr>
              <w:t>As a private, non-profit corporation, a board of directors governs this Foundation. The principal role of the board of directors is to establish policies and provide guidance in achieving its objectives. Board members work closely with the president, foundation director and other campus leaders to increase private support for endowments to enhance the educational and cultural environment of the College and surrounding community.</w:t>
            </w:r>
          </w:p>
          <w:p w:rsidR="0090001C" w:rsidRDefault="0090001C" w:rsidP="00CC3BA7">
            <w:pPr>
              <w:rPr>
                <w:b/>
              </w:rPr>
            </w:pP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F51456" w:rsidRPr="00F51456" w:rsidRDefault="00F51456" w:rsidP="00F51456">
            <w:pPr>
              <w:rPr>
                <w:b/>
              </w:rPr>
            </w:pPr>
            <w:r w:rsidRPr="00F51456">
              <w:rPr>
                <w:b/>
              </w:rPr>
              <w:t>The Taft College Foundation was established for the express purpose of advancing post-secondary education by supporting the programs and activities of Taft College. Specifically, the corporation exists to provide funding for building and classroom construction, scholarships, sponsorship for books and educational materials, supplies, equipment and programs.</w:t>
            </w:r>
          </w:p>
          <w:p w:rsidR="00796C9E" w:rsidRDefault="00F51456" w:rsidP="0064150F">
            <w:pPr>
              <w:rPr>
                <w:b/>
              </w:rPr>
            </w:pPr>
            <w:r w:rsidRPr="00F51456">
              <w:rPr>
                <w:b/>
              </w:rPr>
              <w:t xml:space="preserve">As of September 2009, the first full-time Foundation Director was hired for the Foundation, to provide the staff support necessary to pursue major donations and endowments within the West Kern and Bakersfield area, in addition to actively pursuing </w:t>
            </w:r>
            <w:r w:rsidR="0064150F">
              <w:rPr>
                <w:b/>
              </w:rPr>
              <w:t xml:space="preserve">foundational </w:t>
            </w:r>
            <w:r w:rsidRPr="00F51456">
              <w:rPr>
                <w:b/>
              </w:rPr>
              <w:t>gra</w:t>
            </w:r>
            <w:r w:rsidR="0064150F">
              <w:rPr>
                <w:b/>
              </w:rPr>
              <w:t>nts for campus programs and special projects.</w:t>
            </w:r>
          </w:p>
        </w:tc>
      </w:tr>
    </w:tbl>
    <w:p w:rsidR="00686E57" w:rsidRDefault="00686E57">
      <w:r>
        <w:lastRenderedPageBreak/>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F51456" w:rsidRDefault="00F51456" w:rsidP="00E12E36">
            <w:pPr>
              <w:pStyle w:val="ListParagraph"/>
              <w:numPr>
                <w:ilvl w:val="0"/>
                <w:numId w:val="9"/>
              </w:numPr>
            </w:pPr>
            <w:r>
              <w:t>Hired contract fundraiser development officer to increase contacts of Alumni and corporate donations.</w:t>
            </w:r>
          </w:p>
          <w:p w:rsidR="00F51456" w:rsidRDefault="00F51456" w:rsidP="00E12E36">
            <w:pPr>
              <w:pStyle w:val="ListParagraph"/>
              <w:numPr>
                <w:ilvl w:val="0"/>
                <w:numId w:val="9"/>
              </w:numPr>
            </w:pPr>
            <w:r>
              <w:t>Development coordinator has time to cover meeting agenda and take minutes with the ne</w:t>
            </w:r>
            <w:r w:rsidR="0064150F">
              <w:t>w</w:t>
            </w:r>
            <w:r>
              <w:t xml:space="preserve"> hiring of the development officer.</w:t>
            </w:r>
          </w:p>
          <w:p w:rsidR="00F51456" w:rsidRPr="00E73049" w:rsidRDefault="00F51456" w:rsidP="00E12E36">
            <w:pPr>
              <w:pStyle w:val="ListParagraph"/>
              <w:numPr>
                <w:ilvl w:val="0"/>
                <w:numId w:val="9"/>
              </w:numPr>
            </w:pPr>
            <w:r>
              <w:t>Build a relationship with UC Berkeley to create a pathway for Taft College Engineering students using</w:t>
            </w:r>
            <w:r w:rsidR="0064150F">
              <w:t xml:space="preserve"> the Hutchison Scholarship and we h</w:t>
            </w:r>
            <w:r>
              <w:t>ad our top engineering grad get accepted and receive the Hutchison Scholarship. We cultivated Madalyn Hutchison toward a major gift and with that have launched the Hutchison Engineering promise program and will name the Engineering Program once the bequest is made.</w:t>
            </w:r>
            <w:r w:rsidR="000535CF">
              <w:t xml:space="preserve">  </w:t>
            </w:r>
          </w:p>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B43DD4" w:rsidRDefault="006F05B9" w:rsidP="00DA7BA3">
            <w:r>
              <w:t>Hire a</w:t>
            </w:r>
            <w:r w:rsidR="00E12E36">
              <w:t xml:space="preserve"> new person has from a broad view</w:t>
            </w:r>
            <w:r>
              <w:t xml:space="preserve"> contributed to our bottom line in fundraising, and donor outreach, branding and marketing and event management.  The activities from our new Development officer have been helpful but I am not completely satisfied with the entire process as it has been an expensive endeavor for our foundation to pay for another employee and the training time it has taken from my fundraising process</w:t>
            </w:r>
            <w:r w:rsidR="00E12E36">
              <w:t xml:space="preserve"> </w:t>
            </w:r>
            <w:bookmarkStart w:id="0" w:name="_GoBack"/>
            <w:bookmarkEnd w:id="0"/>
            <w:r w:rsidR="00E12E36">
              <w:t>which has</w:t>
            </w:r>
            <w:r>
              <w:t xml:space="preserve"> been hard to maintain.  I do know that in the long run we should be better and look forward to a better year as the development officer is further trained.  We are on track to exceed last </w:t>
            </w:r>
            <w:r w:rsidR="00E12E36">
              <w:t>year’s</w:t>
            </w:r>
            <w:r>
              <w:t xml:space="preserve"> fundraising final totals so that could demonstrate that having another fundraiser is productive.</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6F05B9" w:rsidP="0024232E">
            <w:r>
              <w:t>1. Gain funding assistance from the WKCCD to hire a Development Associate.</w:t>
            </w:r>
          </w:p>
          <w:p w:rsidR="006F05B9" w:rsidRDefault="006F05B9" w:rsidP="0024232E">
            <w:r>
              <w:t>2. Seek marketing support for the foundation and institution.</w:t>
            </w:r>
          </w:p>
          <w:p w:rsidR="006F05B9" w:rsidRDefault="006F05B9" w:rsidP="0024232E">
            <w:r>
              <w:t>3. Navigate and cultivate a community supported Bond Measure</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64150F" w:rsidP="0064150F">
            <w:pPr>
              <w:pStyle w:val="ListParagraph"/>
              <w:numPr>
                <w:ilvl w:val="0"/>
                <w:numId w:val="8"/>
              </w:numPr>
            </w:pPr>
            <w:r>
              <w:t>Gain funding from the WKCCD for the hiring of Development Associate who supports and works specifically to grow, maintain and manage the functionality of the foundation office.</w:t>
            </w:r>
          </w:p>
          <w:p w:rsidR="0064150F" w:rsidRDefault="0064150F" w:rsidP="0064150F">
            <w:pPr>
              <w:pStyle w:val="ListParagraph"/>
              <w:numPr>
                <w:ilvl w:val="0"/>
                <w:numId w:val="8"/>
              </w:numPr>
            </w:pPr>
            <w:r>
              <w:t>Funds will be allocated to contracting a marketing specialist to aid in branding and social media along with instruction programmatic marketing to ensure enrollment growth.</w:t>
            </w:r>
          </w:p>
          <w:p w:rsidR="0064150F" w:rsidRDefault="0064150F" w:rsidP="0064150F">
            <w:pPr>
              <w:ind w:left="360"/>
            </w:pP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E91" w:rsidRDefault="00221E91" w:rsidP="006B3110">
      <w:pPr>
        <w:spacing w:after="0" w:line="240" w:lineRule="auto"/>
      </w:pPr>
      <w:r>
        <w:separator/>
      </w:r>
    </w:p>
  </w:endnote>
  <w:endnote w:type="continuationSeparator" w:id="0">
    <w:p w:rsidR="00221E91" w:rsidRDefault="00221E9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E91" w:rsidRDefault="00221E91" w:rsidP="006B3110">
      <w:pPr>
        <w:spacing w:after="0" w:line="240" w:lineRule="auto"/>
      </w:pPr>
      <w:r>
        <w:separator/>
      </w:r>
    </w:p>
  </w:footnote>
  <w:footnote w:type="continuationSeparator" w:id="0">
    <w:p w:rsidR="00221E91" w:rsidRDefault="00221E9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E12E36">
      <w:rPr>
        <w:noProof/>
        <w:sz w:val="20"/>
        <w:szCs w:val="20"/>
        <w:u w:val="single"/>
      </w:rPr>
      <w:t>2</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E12E36">
      <w:rPr>
        <w:noProof/>
        <w:sz w:val="20"/>
        <w:szCs w:val="20"/>
        <w:u w:val="single"/>
      </w:rPr>
      <w:t>5</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331A5"/>
    <w:multiLevelType w:val="hybridMultilevel"/>
    <w:tmpl w:val="5914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95D50"/>
    <w:multiLevelType w:val="hybridMultilevel"/>
    <w:tmpl w:val="1D62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44C50"/>
    <w:rsid w:val="00050DCD"/>
    <w:rsid w:val="0005229B"/>
    <w:rsid w:val="000535CF"/>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B795C"/>
    <w:rsid w:val="00200DC2"/>
    <w:rsid w:val="00221E91"/>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53E1"/>
    <w:rsid w:val="003C2F5A"/>
    <w:rsid w:val="003E405A"/>
    <w:rsid w:val="004156FF"/>
    <w:rsid w:val="004208AE"/>
    <w:rsid w:val="00442626"/>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4150F"/>
    <w:rsid w:val="00654E74"/>
    <w:rsid w:val="00664954"/>
    <w:rsid w:val="00686E57"/>
    <w:rsid w:val="006B3110"/>
    <w:rsid w:val="006B585C"/>
    <w:rsid w:val="006C3FDF"/>
    <w:rsid w:val="006F05B9"/>
    <w:rsid w:val="00702035"/>
    <w:rsid w:val="00725CE6"/>
    <w:rsid w:val="00744E0C"/>
    <w:rsid w:val="00767B20"/>
    <w:rsid w:val="00777AD5"/>
    <w:rsid w:val="00781A8E"/>
    <w:rsid w:val="007852B1"/>
    <w:rsid w:val="00796C9E"/>
    <w:rsid w:val="007A0BF0"/>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75ACB"/>
    <w:rsid w:val="00D77270"/>
    <w:rsid w:val="00D8690F"/>
    <w:rsid w:val="00D9245A"/>
    <w:rsid w:val="00DC07F4"/>
    <w:rsid w:val="00DD33EB"/>
    <w:rsid w:val="00DE43B2"/>
    <w:rsid w:val="00DF5C1F"/>
    <w:rsid w:val="00E00B1C"/>
    <w:rsid w:val="00E12E36"/>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456"/>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25BA"/>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Sheri Horn-Bunk</cp:lastModifiedBy>
  <cp:revision>2</cp:revision>
  <cp:lastPrinted>2018-09-18T17:08:00Z</cp:lastPrinted>
  <dcterms:created xsi:type="dcterms:W3CDTF">2019-01-30T19:48:00Z</dcterms:created>
  <dcterms:modified xsi:type="dcterms:W3CDTF">2019-01-30T19:48:00Z</dcterms:modified>
</cp:coreProperties>
</file>