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1"/>
        <w:tblW w:w="19440" w:type="dxa"/>
        <w:tblInd w:w="-1175" w:type="dxa"/>
        <w:tblLook w:val="04A0" w:firstRow="1" w:lastRow="0" w:firstColumn="1" w:lastColumn="0" w:noHBand="0" w:noVBand="1"/>
      </w:tblPr>
      <w:tblGrid>
        <w:gridCol w:w="1980"/>
        <w:gridCol w:w="6390"/>
        <w:gridCol w:w="8550"/>
        <w:gridCol w:w="2520"/>
      </w:tblGrid>
      <w:tr w:rsidR="009B2C65" w:rsidRPr="00D02611" w:rsidTr="003571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9B2C65" w:rsidRPr="003571D9" w:rsidRDefault="009B2C65" w:rsidP="00CD78E6">
            <w:pPr>
              <w:rPr>
                <w:color w:val="FFFFFF" w:themeColor="background1"/>
              </w:rPr>
            </w:pPr>
            <w:r w:rsidRPr="003571D9">
              <w:rPr>
                <w:color w:val="FFFFFF" w:themeColor="background1"/>
              </w:rPr>
              <w:t>Funded Goal Title</w:t>
            </w:r>
          </w:p>
        </w:tc>
        <w:tc>
          <w:tcPr>
            <w:tcW w:w="6390" w:type="dxa"/>
            <w:shd w:val="clear" w:color="auto" w:fill="0D0D0D" w:themeFill="text1" w:themeFillTint="F2"/>
          </w:tcPr>
          <w:p w:rsidR="009B2C65" w:rsidRPr="003571D9" w:rsidRDefault="009B2C65" w:rsidP="00CD78E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3571D9">
              <w:rPr>
                <w:color w:val="FFFFFF" w:themeColor="background1"/>
              </w:rPr>
              <w:t>Data/Metric that Informed Goal in Previous Cycle or Outcome from Goal Form (2017-18 data)</w:t>
            </w:r>
          </w:p>
        </w:tc>
        <w:tc>
          <w:tcPr>
            <w:tcW w:w="8550" w:type="dxa"/>
            <w:shd w:val="clear" w:color="auto" w:fill="0D0D0D" w:themeFill="text1" w:themeFillTint="F2"/>
          </w:tcPr>
          <w:p w:rsidR="009B2C65" w:rsidRPr="003571D9" w:rsidRDefault="009B2C65" w:rsidP="00CD78E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3571D9">
              <w:rPr>
                <w:color w:val="FFFFFF" w:themeColor="background1"/>
              </w:rPr>
              <w:t xml:space="preserve">Same Metric, Current 19/20 Cycle </w:t>
            </w:r>
          </w:p>
          <w:p w:rsidR="009B2C65" w:rsidRPr="003571D9" w:rsidRDefault="009B2C65" w:rsidP="00CD78E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3571D9">
              <w:rPr>
                <w:color w:val="FFFFFF" w:themeColor="background1"/>
              </w:rPr>
              <w:t>(2018-19 data)</w:t>
            </w:r>
          </w:p>
        </w:tc>
        <w:tc>
          <w:tcPr>
            <w:tcW w:w="2520" w:type="dxa"/>
            <w:shd w:val="clear" w:color="auto" w:fill="0D0D0D" w:themeFill="text1" w:themeFillTint="F2"/>
          </w:tcPr>
          <w:p w:rsidR="009B2C65" w:rsidRPr="003571D9" w:rsidRDefault="009B2C65" w:rsidP="00CD78E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3571D9">
              <w:rPr>
                <w:color w:val="FFFFFF" w:themeColor="background1"/>
              </w:rPr>
              <w:t>Comments</w:t>
            </w:r>
          </w:p>
        </w:tc>
      </w:tr>
      <w:tr w:rsidR="003266C7" w:rsidRPr="00D02611" w:rsidTr="00196044">
        <w:trPr>
          <w:cnfStyle w:val="000000100000" w:firstRow="0" w:lastRow="0" w:firstColumn="0" w:lastColumn="0" w:oddVBand="0" w:evenVBand="0" w:oddHBand="1" w:evenHBand="0" w:firstRowFirstColumn="0" w:firstRowLastColumn="0" w:lastRowFirstColumn="0" w:lastRowLastColumn="0"/>
          <w:trHeight w:val="7865"/>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3266C7" w:rsidRPr="00D2096E" w:rsidRDefault="00D33567" w:rsidP="003571D9">
            <w:pPr>
              <w:shd w:val="clear" w:color="auto" w:fill="FFFFFF" w:themeFill="background1"/>
              <w:rPr>
                <w:b w:val="0"/>
              </w:rPr>
            </w:pPr>
            <w:hyperlink r:id="rId7" w:history="1">
              <w:r w:rsidR="003266C7" w:rsidRPr="00D33567">
                <w:rPr>
                  <w:rStyle w:val="Hyperlink"/>
                  <w:b w:val="0"/>
                  <w:bCs w:val="0"/>
                </w:rPr>
                <w:t>Natural and Life Sciences Goal 1 – Anatomy &amp; Physiology Equipment</w:t>
              </w:r>
            </w:hyperlink>
          </w:p>
        </w:tc>
        <w:tc>
          <w:tcPr>
            <w:tcW w:w="6390" w:type="dxa"/>
            <w:shd w:val="clear" w:color="auto" w:fill="auto"/>
          </w:tcPr>
          <w:p w:rsidR="003266C7" w:rsidRPr="003266C7" w:rsidRDefault="003266C7" w:rsidP="003266C7">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 xml:space="preserve">From Section IIB in </w:t>
            </w:r>
            <w:r w:rsidR="00D121B5">
              <w:rPr>
                <w:b/>
                <w:i/>
              </w:rPr>
              <w:t>the APR Goal Form 18/19</w:t>
            </w:r>
            <w:r w:rsidRPr="003266C7">
              <w:rPr>
                <w:b/>
                <w:i/>
              </w:rPr>
              <w:t>:</w:t>
            </w:r>
          </w:p>
          <w:p w:rsidR="003266C7" w:rsidRDefault="003266C7" w:rsidP="003266C7">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 xml:space="preserve">In order for students to learn structures of the human body in Anatomy courses, they must have access to human anatomy models and specimens for dissection.  Anatomy models range in price from $65 - $10,000 depending on the quality, size, and functionality of the model.  Although plastic models rarely need to be replaced due to damage, the cost of replacing a missing or damaged structure is often times just as expensive as replacing the entire model.  This request for additional funds for Anatomy is primarily to purchase new models so that there is more access for students.  Anatomy students engage in dissections so that they may observe, analyze, and learn structures using real organs.  Preserved specimens used in Anatomy courses range from $3 per specimen to $16 per specimen.  This is a recurrent cost that is considered when building our budgets.  With additional Anatomy sections, there will be a need to increase budgets to accommodate for student specimens.  </w:t>
            </w:r>
          </w:p>
          <w:p w:rsidR="003266C7" w:rsidRDefault="003266C7" w:rsidP="003266C7">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3266C7" w:rsidRPr="00D02611" w:rsidRDefault="003266C7"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In order for students to be successful in Physiology course, they must have access to laboratory equipment that enables a deeper understanding of the function of the human body and is applicable in a clinical setting.  We are currently using equipment that is antiquated.  Not only is our equipment outdated, it is also impractical.  Students that use the “</w:t>
            </w:r>
            <w:proofErr w:type="spellStart"/>
            <w:r>
              <w:t>Powerlab</w:t>
            </w:r>
            <w:proofErr w:type="spellEnd"/>
            <w:proofErr w:type="gramStart"/>
            <w:r>
              <w:t>”  (</w:t>
            </w:r>
            <w:proofErr w:type="gramEnd"/>
            <w:r>
              <w:t xml:space="preserve">our current equipment) will not gain any experience that can be applied in the clinical setting.  It is our goal to replace some of the labs using this system with equipment that our students will be using in the Allied Health field.  Medical equipment is certainly costly, but the value added to student achievement is priceless.  </w:t>
            </w:r>
          </w:p>
        </w:tc>
        <w:tc>
          <w:tcPr>
            <w:tcW w:w="8550" w:type="dxa"/>
            <w:shd w:val="clear" w:color="auto" w:fill="auto"/>
          </w:tcPr>
          <w:p w:rsidR="003266C7" w:rsidRPr="003266C7" w:rsidRDefault="003266C7"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From Section IIA in the APR for 19/20:</w:t>
            </w:r>
          </w:p>
          <w:p w:rsidR="003266C7" w:rsidRDefault="003266C7"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rsidRPr="003266C7">
              <w:t xml:space="preserve">Regarding SLO’s, one specific CSLO for the Anatomy course asked students to correctly identify 50 of 60 muscles on a lab exam.  Approximately 50% of the students did not achieve mastery of this subject matter.  For BIOL 2202 (Zoology), students were asked to demonstrate knowledge of the nervous and endocrine systems.  Once again, about 50% of students did not achieve mastery of the particular subject matter.  </w:t>
            </w:r>
          </w:p>
          <w:p w:rsidR="003266C7" w:rsidRDefault="003266C7"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3266C7" w:rsidRPr="003266C7" w:rsidRDefault="003266C7"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From Section IIB in the APR for 19/20:</w:t>
            </w:r>
          </w:p>
          <w:p w:rsidR="003266C7" w:rsidRDefault="003266C7"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rsidRPr="003266C7">
              <w:t>One of the goals we had was to provide more authentic laboratories for the students.  We were unable to meet this goal as it required the purchase of specific equipment that greatly exceeded our budgets.</w:t>
            </w:r>
          </w:p>
          <w:p w:rsidR="003266C7" w:rsidRDefault="003266C7"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3266C7" w:rsidRPr="003266C7" w:rsidRDefault="003266C7"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From Section IIC in the APR for 19/20:</w:t>
            </w:r>
          </w:p>
          <w:p w:rsidR="003266C7" w:rsidRDefault="003266C7"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rsidRPr="003266C7">
              <w:t>Most of our equipment was purchased with grant monies over 5 years ago.  As this equipment ages we will need to repair/replace it to maintain our high course success rates.  Furthermore, as we add more sections and students, we will need additional lab equipment and supplies to ensure that all students have equal access to success.</w:t>
            </w:r>
          </w:p>
          <w:p w:rsidR="008235A4" w:rsidRDefault="008235A4"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8235A4" w:rsidRDefault="00931F70"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hyperlink r:id="rId8" w:history="1">
              <w:r w:rsidR="00FB1885" w:rsidRPr="00931F70">
                <w:rPr>
                  <w:rStyle w:val="Hyperlink"/>
                </w:rPr>
                <w:t>Life Science_</w:t>
              </w:r>
              <w:r w:rsidR="008235A4" w:rsidRPr="00931F70">
                <w:rPr>
                  <w:rStyle w:val="Hyperlink"/>
                </w:rPr>
                <w:t>1920</w:t>
              </w:r>
            </w:hyperlink>
          </w:p>
          <w:p w:rsidR="008235A4" w:rsidRPr="00D02611" w:rsidRDefault="008235A4"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auto"/>
          </w:tcPr>
          <w:p w:rsidR="003266C7" w:rsidRPr="000A74DB" w:rsidRDefault="003266C7"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rPr>
                <w:color w:val="C00000"/>
              </w:rPr>
            </w:pPr>
          </w:p>
        </w:tc>
      </w:tr>
      <w:tr w:rsidR="008B6CCF" w:rsidRPr="00D02611" w:rsidTr="008B6CCF">
        <w:trPr>
          <w:trHeight w:val="575"/>
        </w:trPr>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8B6CCF" w:rsidRPr="008B6CCF" w:rsidRDefault="008B6CCF" w:rsidP="008B6CCF">
            <w:pPr>
              <w:rPr>
                <w:color w:val="FFFFFF" w:themeColor="background1"/>
              </w:rPr>
            </w:pPr>
            <w:r w:rsidRPr="008B6CCF">
              <w:rPr>
                <w:color w:val="FFFFFF" w:themeColor="background1"/>
              </w:rPr>
              <w:lastRenderedPageBreak/>
              <w:t>Funded Goal Title</w:t>
            </w:r>
          </w:p>
        </w:tc>
        <w:tc>
          <w:tcPr>
            <w:tcW w:w="6390" w:type="dxa"/>
            <w:shd w:val="clear" w:color="auto" w:fill="0D0D0D" w:themeFill="text1" w:themeFillTint="F2"/>
          </w:tcPr>
          <w:p w:rsidR="008B6CCF" w:rsidRPr="008B6CCF" w:rsidRDefault="008B6CCF" w:rsidP="008B6CC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8B6CCF" w:rsidRPr="008B6CCF" w:rsidRDefault="008B6CCF" w:rsidP="008B6CC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8B6CCF" w:rsidRPr="008B6CCF" w:rsidRDefault="008B6CCF" w:rsidP="008B6CC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8B6CCF" w:rsidRPr="008B6CCF" w:rsidRDefault="008B6CCF" w:rsidP="008B6CC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Comments</w:t>
            </w:r>
          </w:p>
        </w:tc>
      </w:tr>
      <w:tr w:rsidR="008B6CCF" w:rsidRPr="00D02611" w:rsidTr="00196044">
        <w:trPr>
          <w:cnfStyle w:val="000000100000" w:firstRow="0" w:lastRow="0" w:firstColumn="0" w:lastColumn="0" w:oddVBand="0" w:evenVBand="0" w:oddHBand="1" w:evenHBand="0" w:firstRowFirstColumn="0" w:firstRowLastColumn="0" w:lastRowFirstColumn="0" w:lastRowLastColumn="0"/>
          <w:trHeight w:val="305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8B6CCF" w:rsidRPr="00D2096E" w:rsidRDefault="00D33567" w:rsidP="003571D9">
            <w:pPr>
              <w:shd w:val="clear" w:color="auto" w:fill="FFFFFF" w:themeFill="background1"/>
              <w:rPr>
                <w:b w:val="0"/>
              </w:rPr>
            </w:pPr>
            <w:hyperlink r:id="rId9" w:history="1">
              <w:r w:rsidR="008B6CCF" w:rsidRPr="00D33567">
                <w:rPr>
                  <w:rStyle w:val="Hyperlink"/>
                  <w:b w:val="0"/>
                  <w:bCs w:val="0"/>
                </w:rPr>
                <w:t>English Goal 2 - Increase success in English 1500</w:t>
              </w:r>
            </w:hyperlink>
            <w:r w:rsidR="008B6CCF">
              <w:rPr>
                <w:b w:val="0"/>
              </w:rPr>
              <w:t xml:space="preserve"> </w:t>
            </w:r>
          </w:p>
        </w:tc>
        <w:tc>
          <w:tcPr>
            <w:tcW w:w="6390" w:type="dxa"/>
            <w:shd w:val="clear" w:color="auto" w:fill="auto"/>
          </w:tcPr>
          <w:p w:rsidR="008B6CCF" w:rsidRPr="003266C7"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 xml:space="preserve">From Section IIB in the APR Goal Form </w:t>
            </w:r>
            <w:r w:rsidR="00D121B5">
              <w:rPr>
                <w:b/>
                <w:i/>
              </w:rPr>
              <w:t>18/19</w:t>
            </w:r>
            <w:r w:rsidRPr="003266C7">
              <w:rPr>
                <w:b/>
                <w:i/>
              </w:rPr>
              <w:t>:</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 xml:space="preserve">Maintain existing successful course completion rate of 85.3% for English 1500 (aspirational goal). Maintain existing aggregate CSLO rate of 71%. </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8B6CCF" w:rsidRPr="00D02611" w:rsidRDefault="008B6CCF"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The passage of AB 705 has resulted in the majority of students starting in transfer level English. Due to AB 705, English faculty are spending more time working in the Writing Lab. The goal is to provide these students with the support they need so that they can succeed in transfer level English. The success of these students can be measured through SLOs.</w:t>
            </w:r>
          </w:p>
        </w:tc>
        <w:tc>
          <w:tcPr>
            <w:tcW w:w="8550" w:type="dxa"/>
            <w:shd w:val="clear" w:color="auto" w:fill="auto"/>
          </w:tcPr>
          <w:p w:rsidR="008B6CCF" w:rsidRPr="003266C7"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From Section IIA in the APR for 19/20:</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 xml:space="preserve">In 2018-2019, successful course completion of ENGL 1500 fell to 79.4% from 85.3% the academic year prior—almost a full 6%. Successful course completion of ENGL 1600 fell to 84.7% from 88.5% the year prior. All of the ENGL List A and List B courses in the major demonstrated reduced successful course completion rates in 2018-2019 compared with 2017-2018. </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 xml:space="preserve">ENGL 1000 successful course completion rates have increased over the last two APR cycles. </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15 students were awarded the ENGL ADT, and 1 student was awarded the (deactivated) ENGL AA in 2018-2019, the highest number of awards on record.</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8B6CCF" w:rsidRPr="003266C7"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From Section IIB in the APR for 19/20:</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 xml:space="preserve">Last year’s increased success rate in ENGL 1000 correlated with faculty in the lab. The decreased success rates in courses above ENGL 1000 correlate with early implementation of AB 705 placement practices. </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The increased number of degree awards correlates with consistent, two year scheduling patterns for List A courses in the major and increased online offerings of List A majors courses.</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8B6CCF" w:rsidRDefault="00931F70" w:rsidP="00E53F3A">
            <w:pPr>
              <w:shd w:val="clear" w:color="auto" w:fill="FFFFFF" w:themeFill="background1"/>
              <w:cnfStyle w:val="000000100000" w:firstRow="0" w:lastRow="0" w:firstColumn="0" w:lastColumn="0" w:oddVBand="0" w:evenVBand="0" w:oddHBand="1" w:evenHBand="0" w:firstRowFirstColumn="0" w:firstRowLastColumn="0" w:lastRowFirstColumn="0" w:lastRowLastColumn="0"/>
            </w:pPr>
            <w:hyperlink r:id="rId10" w:history="1">
              <w:r w:rsidR="008B6CCF" w:rsidRPr="00931F70">
                <w:rPr>
                  <w:rStyle w:val="Hyperlink"/>
                </w:rPr>
                <w:t>English_1920</w:t>
              </w:r>
            </w:hyperlink>
          </w:p>
          <w:p w:rsidR="004D0DDA" w:rsidRDefault="004D0DDA" w:rsidP="00E53F3A">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DA" w:rsidRDefault="004D0DDA" w:rsidP="00E53F3A">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DA" w:rsidRDefault="004D0DDA" w:rsidP="00E53F3A">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DA" w:rsidRDefault="004D0DDA" w:rsidP="00E53F3A">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DA" w:rsidRDefault="004D0DDA" w:rsidP="00E53F3A">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DA" w:rsidRPr="00D02611" w:rsidRDefault="004D0DDA" w:rsidP="00E53F3A">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auto"/>
          </w:tcPr>
          <w:p w:rsidR="008B6CCF" w:rsidRPr="000A74DB" w:rsidRDefault="008B6CCF" w:rsidP="003571D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color w:val="C00000"/>
              </w:rPr>
            </w:pPr>
          </w:p>
        </w:tc>
      </w:tr>
      <w:tr w:rsidR="008B6CCF" w:rsidRPr="00D02611" w:rsidTr="00E85991">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8B6CCF" w:rsidRPr="008B6CCF" w:rsidRDefault="008B6CCF" w:rsidP="008B6CCF">
            <w:pPr>
              <w:rPr>
                <w:color w:val="FFFFFF" w:themeColor="background1"/>
              </w:rPr>
            </w:pPr>
            <w:r w:rsidRPr="008B6CCF">
              <w:rPr>
                <w:color w:val="FFFFFF" w:themeColor="background1"/>
              </w:rPr>
              <w:lastRenderedPageBreak/>
              <w:t>Funded Goal Title</w:t>
            </w:r>
          </w:p>
        </w:tc>
        <w:tc>
          <w:tcPr>
            <w:tcW w:w="6390" w:type="dxa"/>
            <w:shd w:val="clear" w:color="auto" w:fill="0D0D0D" w:themeFill="text1" w:themeFillTint="F2"/>
          </w:tcPr>
          <w:p w:rsidR="008B6CCF" w:rsidRPr="008B6CCF" w:rsidRDefault="008B6CCF" w:rsidP="008B6CC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8B6CCF" w:rsidRPr="008B6CCF" w:rsidRDefault="008B6CCF" w:rsidP="008B6CC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8B6CCF" w:rsidRPr="008B6CCF" w:rsidRDefault="008B6CCF" w:rsidP="008B6CC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8B6CCF" w:rsidRPr="008B6CCF" w:rsidRDefault="008B6CCF" w:rsidP="008B6CC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Comments</w:t>
            </w:r>
          </w:p>
        </w:tc>
      </w:tr>
      <w:tr w:rsidR="008B6CCF" w:rsidRPr="00D02611" w:rsidTr="00196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8B6CCF" w:rsidRPr="00D2096E" w:rsidRDefault="00D33567" w:rsidP="003571D9">
            <w:pPr>
              <w:shd w:val="clear" w:color="auto" w:fill="FFFFFF" w:themeFill="background1"/>
              <w:rPr>
                <w:b w:val="0"/>
              </w:rPr>
            </w:pPr>
            <w:hyperlink r:id="rId11" w:history="1">
              <w:r w:rsidR="008B6CCF" w:rsidRPr="00D33567">
                <w:rPr>
                  <w:rStyle w:val="Hyperlink"/>
                  <w:b w:val="0"/>
                  <w:bCs w:val="0"/>
                </w:rPr>
                <w:t>Distance Education Goal 1 – Improving DE Success Rates</w:t>
              </w:r>
            </w:hyperlink>
          </w:p>
        </w:tc>
        <w:tc>
          <w:tcPr>
            <w:tcW w:w="6390" w:type="dxa"/>
            <w:shd w:val="clear" w:color="auto" w:fill="auto"/>
          </w:tcPr>
          <w:p w:rsidR="008B6CCF" w:rsidRPr="003266C7"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 xml:space="preserve">From Section IIB in the APR Goal Form </w:t>
            </w:r>
            <w:r w:rsidR="00D121B5">
              <w:rPr>
                <w:b/>
                <w:i/>
              </w:rPr>
              <w:t>18/19</w:t>
            </w:r>
            <w:r w:rsidRPr="003266C7">
              <w:rPr>
                <w:b/>
                <w:i/>
              </w:rPr>
              <w:t>:</w:t>
            </w:r>
          </w:p>
          <w:p w:rsidR="008B6CCF" w:rsidRPr="00D02611" w:rsidRDefault="008B6CCF"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rsidRPr="00E53F3A">
              <w:t>Success rates of distance education students will improve if we can improve regular and effective contact that occurs in an online course. Lack of regular, timely, and effective contact between students and instructors is a major factor in student attrition and poor performance in online courses.</w:t>
            </w:r>
          </w:p>
        </w:tc>
        <w:tc>
          <w:tcPr>
            <w:tcW w:w="8550" w:type="dxa"/>
            <w:shd w:val="clear" w:color="auto" w:fill="auto"/>
          </w:tcPr>
          <w:p w:rsidR="008B6CCF" w:rsidRPr="003266C7"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From Section IIA in the APR for 19/20:</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Goal #2: Improve the success rates of online DE students by 1%.</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Outcome: Success rates of online DE students decreased by 1% from 68% to 67%.</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8B6CCF" w:rsidRPr="003266C7"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From Section IIB in the APR for 19/20:</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rsidRPr="00E53F3A">
              <w:t>We did not successfully reach our goals of improving online and retention and success rates. However, our enrollment count in online students increased by a count of 942. I wonder if we are seeing more and more students move to online education because of the schedule convenience, yet they are not accounting for the number of hours they must put into an online class to be successful.</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8B6CCF" w:rsidRPr="003266C7"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From Section IIC in the APR for 19/20:</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What if we took steps to better educate students about the challenges of online courses? We might see improvement in retention and success rates as a result. We could investigate student self-assessments that help identify challenges they may face in an online environment. It would be important to develop modules students could take that would help close any gaps and develop the skills necessary to succeed online.</w:t>
            </w:r>
          </w:p>
          <w:p w:rsidR="008B6CCF" w:rsidRDefault="008B6CCF" w:rsidP="005355E6">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8B6CCF" w:rsidRDefault="008B6CCF"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I also wonder if online professors are aware of the goals that are being set for distance learning. If they are unaware of what we are trying to accomplish, they are less likely to try innovative approaches to help us achieve the goal.</w:t>
            </w:r>
          </w:p>
          <w:p w:rsidR="004D0DDA" w:rsidRDefault="004D0DDA"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DA" w:rsidRDefault="00931F70"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hyperlink r:id="rId12" w:history="1">
              <w:r w:rsidR="004D0DDA" w:rsidRPr="00931F70">
                <w:rPr>
                  <w:rStyle w:val="Hyperlink"/>
                </w:rPr>
                <w:t>Distance Learning Support_1920</w:t>
              </w:r>
            </w:hyperlink>
          </w:p>
          <w:p w:rsidR="004D0DDA" w:rsidRDefault="004D0DDA"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DA" w:rsidRDefault="004D0DDA"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DA" w:rsidRDefault="004D0DDA"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DA" w:rsidRPr="00D02611" w:rsidRDefault="004D0DDA" w:rsidP="003571D9">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auto"/>
          </w:tcPr>
          <w:p w:rsidR="008B6CCF" w:rsidRPr="000A74DB" w:rsidRDefault="008B6CCF" w:rsidP="003571D9">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color w:val="C00000"/>
              </w:rPr>
            </w:pPr>
          </w:p>
        </w:tc>
      </w:tr>
      <w:tr w:rsidR="000912B2" w:rsidRPr="003571D9" w:rsidTr="00336CB9">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0912B2" w:rsidRPr="008B6CCF" w:rsidRDefault="000912B2" w:rsidP="000912B2">
            <w:pPr>
              <w:rPr>
                <w:color w:val="FFFFFF" w:themeColor="background1"/>
              </w:rPr>
            </w:pPr>
            <w:r w:rsidRPr="008B6CCF">
              <w:rPr>
                <w:color w:val="FFFFFF" w:themeColor="background1"/>
              </w:rPr>
              <w:lastRenderedPageBreak/>
              <w:t>Funded Goal Title</w:t>
            </w:r>
          </w:p>
        </w:tc>
        <w:tc>
          <w:tcPr>
            <w:tcW w:w="6390" w:type="dxa"/>
            <w:shd w:val="clear" w:color="auto" w:fill="0D0D0D" w:themeFill="text1" w:themeFillTint="F2"/>
          </w:tcPr>
          <w:p w:rsidR="000912B2" w:rsidRPr="008B6CCF" w:rsidRDefault="000912B2" w:rsidP="000912B2">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0912B2" w:rsidRPr="008B6CCF" w:rsidRDefault="000912B2" w:rsidP="000912B2">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0912B2" w:rsidRPr="008B6CCF" w:rsidRDefault="000912B2" w:rsidP="000912B2">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0912B2" w:rsidRPr="008B6CCF" w:rsidRDefault="000912B2" w:rsidP="000912B2">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Comments</w:t>
            </w:r>
          </w:p>
        </w:tc>
      </w:tr>
      <w:tr w:rsidR="000912B2" w:rsidRPr="00D02611" w:rsidTr="00196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0912B2" w:rsidRPr="00D2096E" w:rsidRDefault="00D33567" w:rsidP="000912B2">
            <w:pPr>
              <w:shd w:val="clear" w:color="auto" w:fill="FFFFFF" w:themeFill="background1"/>
              <w:rPr>
                <w:b w:val="0"/>
              </w:rPr>
            </w:pPr>
            <w:hyperlink r:id="rId13" w:history="1">
              <w:r w:rsidR="00502657" w:rsidRPr="00D33567">
                <w:rPr>
                  <w:rStyle w:val="Hyperlink"/>
                  <w:b w:val="0"/>
                  <w:bCs w:val="0"/>
                </w:rPr>
                <w:t>Math Goal 2 – Full-Time Math Faculty Office Laptops</w:t>
              </w:r>
            </w:hyperlink>
          </w:p>
        </w:tc>
        <w:tc>
          <w:tcPr>
            <w:tcW w:w="6390" w:type="dxa"/>
            <w:shd w:val="clear" w:color="auto" w:fill="auto"/>
          </w:tcPr>
          <w:p w:rsidR="00502657" w:rsidRPr="003266C7" w:rsidRDefault="00502657" w:rsidP="00502657">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 xml:space="preserve">From Section IIB in the APR Goal Form </w:t>
            </w:r>
            <w:r w:rsidR="00D121B5">
              <w:rPr>
                <w:b/>
                <w:i/>
              </w:rPr>
              <w:t>18/19</w:t>
            </w:r>
            <w:r w:rsidRPr="003266C7">
              <w:rPr>
                <w:b/>
                <w:i/>
              </w:rPr>
              <w:t>:</w:t>
            </w:r>
          </w:p>
          <w:p w:rsidR="00502657" w:rsidRDefault="00502657" w:rsidP="00502657">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 xml:space="preserve">The full-time math department faculty depend on reliable and up-to-date technology in our offices to perform all aspects of our instructional and professional duties. </w:t>
            </w:r>
          </w:p>
          <w:p w:rsidR="00502657" w:rsidRDefault="00502657" w:rsidP="00502657">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502657" w:rsidRDefault="00502657" w:rsidP="00502657">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 xml:space="preserve">Professor Diane Jones – Laptop purchased Fall 2011 </w:t>
            </w:r>
          </w:p>
          <w:p w:rsidR="00502657" w:rsidRDefault="00502657" w:rsidP="00502657">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Professor Mariza Martinez – Laptop purchased Fall 2011</w:t>
            </w:r>
          </w:p>
          <w:p w:rsidR="00502657" w:rsidRDefault="00502657" w:rsidP="00502657">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Professor Ruby Payne – Laptop purchased Fall 2009</w:t>
            </w:r>
          </w:p>
          <w:p w:rsidR="00502657" w:rsidRDefault="00502657" w:rsidP="00502657">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502657" w:rsidRDefault="00502657" w:rsidP="00502657">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0912B2" w:rsidRDefault="00502657" w:rsidP="00502657">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t>Completion of this goal will align with the goals of the Technology Master Plan to replace faculty office laptops every 5 years with an interim evaluation.</w:t>
            </w:r>
          </w:p>
          <w:p w:rsidR="004D0DDA" w:rsidRDefault="004D0DDA" w:rsidP="00502657">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DA" w:rsidRPr="00D02611" w:rsidRDefault="004D0DDA" w:rsidP="00502657">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tc>
        <w:tc>
          <w:tcPr>
            <w:tcW w:w="8550" w:type="dxa"/>
            <w:shd w:val="clear" w:color="auto" w:fill="auto"/>
          </w:tcPr>
          <w:p w:rsidR="004D0DDA" w:rsidRDefault="004D0DDA" w:rsidP="004D0DDA">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From Section IIA in the APR for 19/20:</w:t>
            </w:r>
          </w:p>
          <w:p w:rsidR="004D0DDA" w:rsidRDefault="004D0DDA" w:rsidP="004D0DDA">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Pr>
                <w:b/>
                <w:i/>
              </w:rPr>
              <w:t>No relatable data reported</w:t>
            </w:r>
            <w:r>
              <w:rPr>
                <w:b/>
                <w:i/>
              </w:rPr>
              <w:t xml:space="preserve"> on for Full-Time Math Faculty Office Laptops</w:t>
            </w:r>
            <w:r>
              <w:rPr>
                <w:b/>
                <w:i/>
              </w:rPr>
              <w:t xml:space="preserve">. </w:t>
            </w:r>
          </w:p>
          <w:p w:rsidR="00931F70" w:rsidRPr="004D0DDA" w:rsidRDefault="00931F70" w:rsidP="004D0DDA">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p>
          <w:p w:rsidR="000912B2" w:rsidRDefault="00931F70" w:rsidP="00502657">
            <w:pPr>
              <w:shd w:val="clear" w:color="auto" w:fill="FFFFFF" w:themeFill="background1"/>
              <w:cnfStyle w:val="000000100000" w:firstRow="0" w:lastRow="0" w:firstColumn="0" w:lastColumn="0" w:oddVBand="0" w:evenVBand="0" w:oddHBand="1" w:evenHBand="0" w:firstRowFirstColumn="0" w:firstRowLastColumn="0" w:lastRowFirstColumn="0" w:lastRowLastColumn="0"/>
            </w:pPr>
            <w:hyperlink r:id="rId14" w:history="1">
              <w:r w:rsidR="004D0DDA" w:rsidRPr="00931F70">
                <w:rPr>
                  <w:rStyle w:val="Hyperlink"/>
                </w:rPr>
                <w:t>Math_1920</w:t>
              </w:r>
            </w:hyperlink>
          </w:p>
          <w:p w:rsidR="00931F70" w:rsidRPr="00D02611" w:rsidRDefault="00931F70" w:rsidP="00502657">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auto"/>
          </w:tcPr>
          <w:p w:rsidR="000912B2" w:rsidRPr="000A74DB" w:rsidRDefault="000912B2" w:rsidP="000912B2">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color w:val="C00000"/>
              </w:rPr>
            </w:pPr>
          </w:p>
        </w:tc>
      </w:tr>
      <w:tr w:rsidR="00502657" w:rsidRPr="00D02611" w:rsidTr="000F754E">
        <w:trPr>
          <w:trHeight w:val="845"/>
        </w:trPr>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502657" w:rsidRPr="008B6CCF" w:rsidRDefault="00502657" w:rsidP="00502657">
            <w:pPr>
              <w:rPr>
                <w:color w:val="FFFFFF" w:themeColor="background1"/>
              </w:rPr>
            </w:pPr>
            <w:r w:rsidRPr="008B6CCF">
              <w:rPr>
                <w:color w:val="FFFFFF" w:themeColor="background1"/>
              </w:rPr>
              <w:t>Funded Goal Title</w:t>
            </w:r>
          </w:p>
        </w:tc>
        <w:tc>
          <w:tcPr>
            <w:tcW w:w="6390" w:type="dxa"/>
            <w:shd w:val="clear" w:color="auto" w:fill="0D0D0D" w:themeFill="text1" w:themeFillTint="F2"/>
          </w:tcPr>
          <w:p w:rsidR="00502657" w:rsidRPr="008B6CCF" w:rsidRDefault="00502657" w:rsidP="00502657">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502657" w:rsidRPr="008B6CCF" w:rsidRDefault="00502657" w:rsidP="00502657">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502657" w:rsidRPr="008B6CCF" w:rsidRDefault="00502657" w:rsidP="00502657">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502657" w:rsidRPr="008B6CCF" w:rsidRDefault="00502657" w:rsidP="00502657">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Comments</w:t>
            </w:r>
          </w:p>
        </w:tc>
      </w:tr>
      <w:tr w:rsidR="00502657" w:rsidRPr="00D02611" w:rsidTr="00196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502657" w:rsidRPr="00D2096E" w:rsidRDefault="00D33567" w:rsidP="00502657">
            <w:pPr>
              <w:shd w:val="clear" w:color="auto" w:fill="FFFFFF" w:themeFill="background1"/>
              <w:rPr>
                <w:b w:val="0"/>
              </w:rPr>
            </w:pPr>
            <w:hyperlink r:id="rId15" w:history="1">
              <w:r w:rsidR="000F754E" w:rsidRPr="00D33567">
                <w:rPr>
                  <w:rStyle w:val="Hyperlink"/>
                  <w:b w:val="0"/>
                  <w:bCs w:val="0"/>
                </w:rPr>
                <w:t>Athletics Goal 5 – Soccer Field Maintenance</w:t>
              </w:r>
            </w:hyperlink>
          </w:p>
        </w:tc>
        <w:tc>
          <w:tcPr>
            <w:tcW w:w="6390" w:type="dxa"/>
            <w:shd w:val="clear" w:color="auto" w:fill="auto"/>
          </w:tcPr>
          <w:p w:rsidR="000F754E" w:rsidRPr="003266C7" w:rsidRDefault="000F754E" w:rsidP="000F754E">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 xml:space="preserve">From Section IIB in the APR Goal Form </w:t>
            </w:r>
            <w:r w:rsidR="00D121B5">
              <w:rPr>
                <w:b/>
                <w:i/>
              </w:rPr>
              <w:t>18/19</w:t>
            </w:r>
            <w:r w:rsidRPr="003266C7">
              <w:rPr>
                <w:b/>
                <w:i/>
              </w:rPr>
              <w:t>:</w:t>
            </w:r>
          </w:p>
          <w:p w:rsidR="00502657" w:rsidRDefault="000F754E" w:rsidP="000F754E">
            <w:pPr>
              <w:shd w:val="clear" w:color="auto" w:fill="FFFFFF" w:themeFill="background1"/>
              <w:cnfStyle w:val="000000100000" w:firstRow="0" w:lastRow="0" w:firstColumn="0" w:lastColumn="0" w:oddVBand="0" w:evenVBand="0" w:oddHBand="1" w:evenHBand="0" w:firstRowFirstColumn="0" w:firstRowLastColumn="0" w:lastRowFirstColumn="0" w:lastRowLastColumn="0"/>
            </w:pPr>
            <w:r w:rsidRPr="000F754E">
              <w:t>We would like to see improved playing surface, updated score board and the netting replaced so that student athletes are practicing and playing on a surface without the risk of injury.  This is truly a health and safety issue.</w:t>
            </w:r>
          </w:p>
          <w:p w:rsidR="004D0D03" w:rsidRDefault="004D0D03" w:rsidP="000F754E">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03" w:rsidRDefault="004D0D03" w:rsidP="000F754E">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03" w:rsidRDefault="004D0D03" w:rsidP="000F754E">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03" w:rsidRDefault="004D0D03" w:rsidP="000F754E">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03" w:rsidRDefault="004D0D03" w:rsidP="000F754E">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p w:rsidR="004D0D03" w:rsidRPr="00D02611" w:rsidRDefault="004D0D03" w:rsidP="000F754E">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tc>
        <w:tc>
          <w:tcPr>
            <w:tcW w:w="8550" w:type="dxa"/>
            <w:shd w:val="clear" w:color="auto" w:fill="auto"/>
          </w:tcPr>
          <w:p w:rsidR="00502657" w:rsidRDefault="000F754E" w:rsidP="000F754E">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sidRPr="003266C7">
              <w:rPr>
                <w:b/>
                <w:i/>
              </w:rPr>
              <w:t>From Section IIA in the APR for 19/20:</w:t>
            </w:r>
          </w:p>
          <w:p w:rsidR="004D0DDA" w:rsidRDefault="004D0DDA" w:rsidP="000F754E">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r>
              <w:rPr>
                <w:b/>
                <w:i/>
              </w:rPr>
              <w:t xml:space="preserve">No relatable data reported on for Soccer Field Maintenance. </w:t>
            </w:r>
          </w:p>
          <w:p w:rsidR="004D0D03" w:rsidRPr="004D0DDA" w:rsidRDefault="004D0D03" w:rsidP="000F754E">
            <w:pPr>
              <w:shd w:val="clear" w:color="auto" w:fill="FFFFFF" w:themeFill="background1"/>
              <w:cnfStyle w:val="000000100000" w:firstRow="0" w:lastRow="0" w:firstColumn="0" w:lastColumn="0" w:oddVBand="0" w:evenVBand="0" w:oddHBand="1" w:evenHBand="0" w:firstRowFirstColumn="0" w:firstRowLastColumn="0" w:lastRowFirstColumn="0" w:lastRowLastColumn="0"/>
              <w:rPr>
                <w:b/>
                <w:i/>
              </w:rPr>
            </w:pPr>
          </w:p>
          <w:p w:rsidR="004D0DDA" w:rsidRDefault="00931F70" w:rsidP="000F754E">
            <w:pPr>
              <w:shd w:val="clear" w:color="auto" w:fill="FFFFFF" w:themeFill="background1"/>
              <w:cnfStyle w:val="000000100000" w:firstRow="0" w:lastRow="0" w:firstColumn="0" w:lastColumn="0" w:oddVBand="0" w:evenVBand="0" w:oddHBand="1" w:evenHBand="0" w:firstRowFirstColumn="0" w:firstRowLastColumn="0" w:lastRowFirstColumn="0" w:lastRowLastColumn="0"/>
            </w:pPr>
            <w:hyperlink r:id="rId16" w:history="1">
              <w:r w:rsidR="004D0DDA" w:rsidRPr="00931F70">
                <w:rPr>
                  <w:rStyle w:val="Hyperlink"/>
                </w:rPr>
                <w:t>Athletics_1920</w:t>
              </w:r>
            </w:hyperlink>
          </w:p>
          <w:p w:rsidR="004D0DDA" w:rsidRPr="00D02611" w:rsidRDefault="004D0DDA" w:rsidP="000F754E">
            <w:pPr>
              <w:shd w:val="clear" w:color="auto" w:fill="FFFFFF" w:themeFill="background1"/>
              <w:cnfStyle w:val="000000100000" w:firstRow="0" w:lastRow="0" w:firstColumn="0" w:lastColumn="0" w:oddVBand="0" w:evenVBand="0" w:oddHBand="1" w:evenHBand="0" w:firstRowFirstColumn="0" w:firstRowLastColumn="0" w:lastRowFirstColumn="0" w:lastRowLastColumn="0"/>
            </w:pPr>
          </w:p>
        </w:tc>
        <w:tc>
          <w:tcPr>
            <w:tcW w:w="2520" w:type="dxa"/>
            <w:shd w:val="clear" w:color="auto" w:fill="auto"/>
          </w:tcPr>
          <w:p w:rsidR="00502657" w:rsidRPr="000A74DB" w:rsidRDefault="00502657" w:rsidP="00502657">
            <w:pPr>
              <w:shd w:val="clear" w:color="auto" w:fill="FFFFFF" w:themeFill="background1"/>
              <w:cnfStyle w:val="000000100000" w:firstRow="0" w:lastRow="0" w:firstColumn="0" w:lastColumn="0" w:oddVBand="0" w:evenVBand="0" w:oddHBand="1" w:evenHBand="0" w:firstRowFirstColumn="0" w:firstRowLastColumn="0" w:lastRowFirstColumn="0" w:lastRowLastColumn="0"/>
              <w:rPr>
                <w:color w:val="C00000"/>
              </w:rPr>
            </w:pPr>
          </w:p>
        </w:tc>
      </w:tr>
      <w:tr w:rsidR="004D0DDA" w:rsidRPr="00D02611" w:rsidTr="00765E44">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4D0DDA" w:rsidRPr="008B6CCF" w:rsidRDefault="004D0DDA" w:rsidP="004D0DDA">
            <w:pPr>
              <w:rPr>
                <w:color w:val="FFFFFF" w:themeColor="background1"/>
              </w:rPr>
            </w:pPr>
            <w:r w:rsidRPr="008B6CCF">
              <w:rPr>
                <w:color w:val="FFFFFF" w:themeColor="background1"/>
              </w:rPr>
              <w:lastRenderedPageBreak/>
              <w:t>Funded Goal Title</w:t>
            </w:r>
          </w:p>
        </w:tc>
        <w:tc>
          <w:tcPr>
            <w:tcW w:w="6390" w:type="dxa"/>
            <w:shd w:val="clear" w:color="auto" w:fill="0D0D0D" w:themeFill="text1" w:themeFillTint="F2"/>
          </w:tcPr>
          <w:p w:rsidR="004D0DDA" w:rsidRPr="008B6CCF" w:rsidRDefault="004D0DDA" w:rsidP="004D0DDA">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4D0DDA" w:rsidRPr="008B6CCF" w:rsidRDefault="004D0DDA" w:rsidP="004D0DDA">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4D0DDA" w:rsidRPr="008B6CCF" w:rsidRDefault="004D0DDA" w:rsidP="004D0DDA">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4D0DDA" w:rsidRPr="008B6CCF" w:rsidRDefault="004D0DDA" w:rsidP="004D0DDA">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B6CCF">
              <w:rPr>
                <w:b/>
                <w:color w:val="FFFFFF" w:themeColor="background1"/>
              </w:rPr>
              <w:t>Comments</w:t>
            </w:r>
          </w:p>
        </w:tc>
      </w:tr>
      <w:tr w:rsidR="004D0DDA" w:rsidRPr="003571D9" w:rsidTr="00253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004D0DDA" w:rsidRPr="003571D9" w:rsidRDefault="004D0DDA" w:rsidP="004D0DDA">
            <w:pPr>
              <w:rPr>
                <w:color w:val="FFFFFF" w:themeColor="background1"/>
              </w:rPr>
            </w:pPr>
          </w:p>
        </w:tc>
        <w:tc>
          <w:tcPr>
            <w:tcW w:w="6390" w:type="dxa"/>
          </w:tcPr>
          <w:p w:rsidR="004D0DDA" w:rsidRPr="003571D9" w:rsidRDefault="004D0DDA" w:rsidP="004D0DDA">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8550" w:type="dxa"/>
          </w:tcPr>
          <w:p w:rsidR="004D0DDA" w:rsidRPr="003571D9" w:rsidRDefault="004D0DDA" w:rsidP="004D0DDA">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2520" w:type="dxa"/>
          </w:tcPr>
          <w:p w:rsidR="004D0DDA" w:rsidRPr="003571D9" w:rsidRDefault="004D0DDA" w:rsidP="004D0DDA">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4D0DDA" w:rsidRPr="00D02611" w:rsidTr="00196044">
        <w:trPr>
          <w:trHeight w:val="305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4D0DDA" w:rsidRPr="00D2096E" w:rsidRDefault="00D33567" w:rsidP="004D0DDA">
            <w:pPr>
              <w:shd w:val="clear" w:color="auto" w:fill="FFFFFF" w:themeFill="background1"/>
              <w:rPr>
                <w:b w:val="0"/>
              </w:rPr>
            </w:pPr>
            <w:hyperlink r:id="rId17" w:history="1">
              <w:r w:rsidR="00991735" w:rsidRPr="00D33567">
                <w:rPr>
                  <w:rStyle w:val="Hyperlink"/>
                  <w:b w:val="0"/>
                  <w:bCs w:val="0"/>
                </w:rPr>
                <w:t>Dental Hygiene Goal 1 – New Clinic/Facilities</w:t>
              </w:r>
            </w:hyperlink>
          </w:p>
        </w:tc>
        <w:tc>
          <w:tcPr>
            <w:tcW w:w="6390" w:type="dxa"/>
            <w:shd w:val="clear" w:color="auto" w:fill="auto"/>
          </w:tcPr>
          <w:p w:rsidR="00991735" w:rsidRPr="003266C7"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 xml:space="preserve">From Section IIB in the APR Goal Form </w:t>
            </w:r>
            <w:r w:rsidR="00D121B5">
              <w:rPr>
                <w:b/>
                <w:i/>
              </w:rPr>
              <w:t>18/19</w:t>
            </w:r>
            <w:r w:rsidRPr="003266C7">
              <w:rPr>
                <w:b/>
                <w:i/>
              </w:rPr>
              <w:t>:</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roofErr w:type="gramStart"/>
            <w:r>
              <w:t>Build  a</w:t>
            </w:r>
            <w:proofErr w:type="gramEnd"/>
            <w:r>
              <w:t xml:space="preserve"> new 16-chair or fully remodel the dental hygiene clinic to meet the educational course objectives and meet standards for current trends in employment.</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 xml:space="preserve">The current classroom/clinic modular building were established in the early 1990's.  Deferred maintenance has not addressed the overall needs of the buildings.  Both buildings have a higher rate of use between faculty, students, and public members than other college buildings.  </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The clinic dental units require replacement, as the lifespan maximizes at 15 to 20 years under high use.  The classroom space barely accommodates 20 students.   Storage space in both buildings has been maximized for years.</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2. Add computers to each dental chair/unit with patient management and digital x-ray software that follows the trends for employment.</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Outcomes in clinic and radiology courses focus on preparing graduates fully educated and trained for employment. Current trends in dental hygiene education show computers with patient management software and digital radiography software at each dental unit allowing faculty and students to interact during teaching and learning experiences in patient care.  Graduates are not trained in patient management software prior to employment after attaining a license and must be trained by employers.</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3. Add one additional digital radiology sensor to meet the needs of instruction in dental radiography lab courses.</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lastRenderedPageBreak/>
              <w:t>Outcomes are focused on meeting the needs for student education during radiology and clinic courses: The program has three digital sensors and requires a fourth sensor in order to meet the instructional needs of radiology lab and patient care clinics.  Four x-rays chairs are required and the program prefers to expand the x-ray facilities to six chairs as it better suites the needs for radiology and clinic course instruction.</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4.  Replace outdated sterilization equipment that can no longer be repaired.</w:t>
            </w:r>
          </w:p>
          <w:p w:rsidR="004D0DDA" w:rsidRPr="00D02611"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Outcomes are focused on having equipment that meets the high use by students each clinic session and can be repaired at a reasonable cost: Currently, there are two steam sterilizers that require replacement, as parts are no longer available should repairs be required.  There is also an instrument washer that is between 7 and 10 years old that requires replacement, as it is now less effective in its function to clean instruments prior to the sterilization process.</w:t>
            </w:r>
          </w:p>
        </w:tc>
        <w:tc>
          <w:tcPr>
            <w:tcW w:w="8550" w:type="dxa"/>
            <w:shd w:val="clear" w:color="auto" w:fill="auto"/>
          </w:tcPr>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lastRenderedPageBreak/>
              <w:t>From Section IIA in the APR for 19/20:</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Faculty reviewed Program Course objectives and  SLO’s and determined the following Program Outcomes:</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95 % of all dental hygiene students assessed demonstrated competency or mastery in course SLO's.  100% of students continue to demonstrate competency in the area of ethics as all 2018 graduates have passed the California Ethics and Dental Law examination required for licensure in the State of California.</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4D0DDA"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 xml:space="preserve">Graduates continue to pass the written National Dental Hygiene examination.  Twelve (11) graduates from 2019 have passed the NDHBE on the first attempt.  One (1) student passed on the second attempt.  However a four-year trend analysis indicates the overall program score on the national examination is continuously below the national average of over 340 programs.  </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991735" w:rsidRPr="003266C7"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From Section IIB in the APR for 19/20:</w:t>
            </w:r>
          </w:p>
          <w:p w:rsidR="00991735" w:rsidRDefault="004D0D03"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T</w:t>
            </w:r>
            <w:r w:rsidR="00991735">
              <w:t>he Program implemented the following activities to help reach goals and outcomes on SLO’s.  These activities are a direct result of  SLO data and include the following outcomes and why they were effective:</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1.  Program faculty have worked on streamlining and linking all clinical courses to ensure student technical and critical thinking skills move from novice to entry level competency within two years.  All evaluation forms were revised, as well as implementing a weighted grading system. This process begun in Spring 2019.</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 xml:space="preserve">       Outcome:  Students are better prepared in technical skills and to meet state licensing criteria.</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 xml:space="preserve">       Reason:   Students must perform a number of specific tasks during patient care clinic courses.  The repetition provides for increased practice and skill competency.</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lastRenderedPageBreak/>
              <w:t>2.     Patient management software was installed in Spring 2019.  Faculty and students were trained and began using the software on Fall 2019.  The addition of this software will better prepare students for employment.</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 xml:space="preserve">     Outcome: To be determined  </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 xml:space="preserve">     Reason: Patient management software is used in practice by dental hygienists for recordkeeping.</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PROGRESS TOWARD LAST YEAR’s GOALS</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 xml:space="preserve">1. Build a new 16-chair or fully remodel the dental hygiene clinic to meet the educational standards for current trends in employment. </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ONGOING- will require bond funding for capital improvements</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 xml:space="preserve">2. Add computers to each dental unit/chair that includes patient management/digital x-ray software to follow trends and expectations of employment. </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ONGOING – progress has included adding patient management software to the existing computers in the dental hygiene clinic and implementing course requires to enter patient data.  This developed a bridge to better prepare students for the workplace. Comp0uters at each station will require a new facility.</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3. Add a dedicated IT server or ensure dental hygiene patient management and storage of dental radiographic images can be accommodated for at least 7 years.</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ONGOING – software has been added.  The program continues to collaborate with the IT department to ensure updates and student use of software is user friendly.</w:t>
            </w: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991735" w:rsidRDefault="00991735"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Fundraising and development of non-state revenue streams have allowed the program to replace aging equipment, and add technology mirroring that of the workplace.</w:t>
            </w:r>
          </w:p>
          <w:p w:rsidR="004D0D03" w:rsidRDefault="004D0D03"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4D0D03" w:rsidRDefault="00931F70"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hyperlink r:id="rId18" w:history="1">
              <w:r w:rsidRPr="00931F70">
                <w:rPr>
                  <w:rStyle w:val="Hyperlink"/>
                </w:rPr>
                <w:t>Dental Hygiene_1920</w:t>
              </w:r>
            </w:hyperlink>
          </w:p>
          <w:p w:rsidR="004D0D03" w:rsidRDefault="004D0D03"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4D0D03" w:rsidRPr="00D02611" w:rsidRDefault="004D0D03" w:rsidP="00991735">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auto"/>
          </w:tcPr>
          <w:p w:rsidR="004D0DDA" w:rsidRPr="000A74DB" w:rsidRDefault="004D0DDA" w:rsidP="004D0DDA">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color w:val="C00000"/>
              </w:rPr>
            </w:pPr>
          </w:p>
        </w:tc>
      </w:tr>
      <w:tr w:rsidR="004D0D03" w:rsidRPr="00D02611" w:rsidTr="00A261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4D0D03" w:rsidRPr="008B6CCF" w:rsidRDefault="004D0D03" w:rsidP="004D0D03">
            <w:pPr>
              <w:rPr>
                <w:color w:val="FFFFFF" w:themeColor="background1"/>
              </w:rPr>
            </w:pPr>
            <w:r w:rsidRPr="008B6CCF">
              <w:rPr>
                <w:color w:val="FFFFFF" w:themeColor="background1"/>
              </w:rPr>
              <w:lastRenderedPageBreak/>
              <w:t>Funded Goal Title</w:t>
            </w:r>
          </w:p>
        </w:tc>
        <w:tc>
          <w:tcPr>
            <w:tcW w:w="6390" w:type="dxa"/>
            <w:shd w:val="clear" w:color="auto" w:fill="0D0D0D" w:themeFill="text1" w:themeFillTint="F2"/>
          </w:tcPr>
          <w:p w:rsidR="004D0D03" w:rsidRPr="008B6CCF" w:rsidRDefault="004D0D03" w:rsidP="004D0D03">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4D0D03" w:rsidRPr="008B6CCF" w:rsidRDefault="004D0D03" w:rsidP="004D0D03">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4D0D03" w:rsidRPr="008B6CCF" w:rsidRDefault="004D0D03" w:rsidP="004D0D03">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4D0D03" w:rsidRPr="008B6CCF" w:rsidRDefault="004D0D03" w:rsidP="004D0D03">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Comments</w:t>
            </w:r>
          </w:p>
        </w:tc>
      </w:tr>
      <w:tr w:rsidR="004D0D03" w:rsidRPr="00D02611" w:rsidTr="00196044">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4D0D03" w:rsidRPr="00D2096E" w:rsidRDefault="0072513F" w:rsidP="004D0D03">
            <w:pPr>
              <w:shd w:val="clear" w:color="auto" w:fill="FFFFFF" w:themeFill="background1"/>
              <w:rPr>
                <w:b w:val="0"/>
              </w:rPr>
            </w:pPr>
            <w:hyperlink r:id="rId19" w:history="1">
              <w:r w:rsidR="004D0D03" w:rsidRPr="0072513F">
                <w:rPr>
                  <w:rStyle w:val="Hyperlink"/>
                  <w:b w:val="0"/>
                  <w:bCs w:val="0"/>
                </w:rPr>
                <w:t>Information Technology Goal 2 – Update Audiovisual Equipment in Science Classrooms</w:t>
              </w:r>
            </w:hyperlink>
          </w:p>
        </w:tc>
        <w:tc>
          <w:tcPr>
            <w:tcW w:w="6390" w:type="dxa"/>
            <w:shd w:val="clear" w:color="auto" w:fill="auto"/>
          </w:tcPr>
          <w:p w:rsidR="004D0D03" w:rsidRPr="003266C7" w:rsidRDefault="004D0D03" w:rsidP="004D0D03">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 xml:space="preserve">From Section IIB in the APR Goal Form </w:t>
            </w:r>
            <w:r w:rsidR="00D121B5">
              <w:rPr>
                <w:b/>
                <w:i/>
              </w:rPr>
              <w:t>18/19</w:t>
            </w:r>
            <w:r w:rsidRPr="003266C7">
              <w:rPr>
                <w:b/>
                <w:i/>
              </w:rPr>
              <w:t>:</w:t>
            </w:r>
          </w:p>
          <w:p w:rsidR="004D0D03" w:rsidRDefault="004D0D03" w:rsidP="004D0D03">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The audiovisual (AV) equipment referenced in this program goal is located in classrooms S2, S3, S6 and S7. The AV equipment is a critical instructional resource that directly impacts the process of teaching and learning in these classrooms. The current AV equipment is approximately 9 years old, far beyond its expected service life.</w:t>
            </w:r>
          </w:p>
          <w:p w:rsidR="004D0D03" w:rsidRDefault="004D0D03" w:rsidP="004D0D03">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4D0D03" w:rsidRPr="00D02611" w:rsidRDefault="004D0D03" w:rsidP="004D0D03">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Updating the AV equipment will improve the reliability and stability of instructional technology resources in these classrooms and will ensure that faculty are able to connect and use newer technologies (such as HDMI).</w:t>
            </w:r>
          </w:p>
        </w:tc>
        <w:tc>
          <w:tcPr>
            <w:tcW w:w="8550" w:type="dxa"/>
            <w:shd w:val="clear" w:color="auto" w:fill="auto"/>
          </w:tcPr>
          <w:p w:rsidR="004D0D03" w:rsidRDefault="004D0D03" w:rsidP="004D0D03">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From Section IIA in the APR for 19/20:</w:t>
            </w:r>
          </w:p>
          <w:p w:rsidR="00931F70" w:rsidRDefault="00931F70" w:rsidP="00931F70">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Pr>
                <w:b/>
                <w:i/>
              </w:rPr>
              <w:t>No relatable data reported</w:t>
            </w:r>
            <w:r>
              <w:rPr>
                <w:b/>
                <w:i/>
              </w:rPr>
              <w:t xml:space="preserve"> on for Audiovisual Equipment in Science Classrooms.</w:t>
            </w:r>
          </w:p>
          <w:p w:rsidR="00931F70" w:rsidRDefault="00931F70" w:rsidP="00931F70">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p>
          <w:p w:rsidR="00931F70" w:rsidRDefault="00D33567" w:rsidP="00931F70">
            <w:pPr>
              <w:shd w:val="clear" w:color="auto" w:fill="FFFFFF" w:themeFill="background1"/>
              <w:cnfStyle w:val="000000000000" w:firstRow="0" w:lastRow="0" w:firstColumn="0" w:lastColumn="0" w:oddVBand="0" w:evenVBand="0" w:oddHBand="0" w:evenHBand="0" w:firstRowFirstColumn="0" w:firstRowLastColumn="0" w:lastRowFirstColumn="0" w:lastRowLastColumn="0"/>
            </w:pPr>
            <w:hyperlink r:id="rId20" w:history="1">
              <w:r w:rsidR="00931F70" w:rsidRPr="00D33567">
                <w:rPr>
                  <w:rStyle w:val="Hyperlink"/>
                </w:rPr>
                <w:t>Information Technology_1920</w:t>
              </w:r>
            </w:hyperlink>
          </w:p>
          <w:p w:rsidR="00931F70" w:rsidRDefault="00D33567" w:rsidP="00931F70">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hyperlink r:id="rId21" w:history="1">
              <w:r w:rsidR="00931F70" w:rsidRPr="00D33567">
                <w:rPr>
                  <w:rStyle w:val="Hyperlink"/>
                </w:rPr>
                <w:t>Information Technology Supplemental Information</w:t>
              </w:r>
            </w:hyperlink>
            <w:r w:rsidR="00931F70">
              <w:rPr>
                <w:b/>
                <w:i/>
              </w:rPr>
              <w:t xml:space="preserve"> </w:t>
            </w:r>
          </w:p>
          <w:p w:rsidR="004D0D03" w:rsidRPr="00D02611" w:rsidRDefault="004D0D03" w:rsidP="004D0D03">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auto"/>
          </w:tcPr>
          <w:p w:rsidR="004D0D03" w:rsidRPr="00322039" w:rsidRDefault="004D0D03" w:rsidP="004D0D03">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color w:val="C00000"/>
              </w:rPr>
            </w:pPr>
          </w:p>
        </w:tc>
      </w:tr>
      <w:tr w:rsidR="0072513F" w:rsidRPr="00D02611" w:rsidTr="00F53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72513F" w:rsidRPr="008B6CCF" w:rsidRDefault="0072513F" w:rsidP="0072513F">
            <w:pPr>
              <w:rPr>
                <w:color w:val="FFFFFF" w:themeColor="background1"/>
              </w:rPr>
            </w:pPr>
            <w:r w:rsidRPr="008B6CCF">
              <w:rPr>
                <w:color w:val="FFFFFF" w:themeColor="background1"/>
              </w:rPr>
              <w:t>Funded Goal Title</w:t>
            </w:r>
          </w:p>
        </w:tc>
        <w:tc>
          <w:tcPr>
            <w:tcW w:w="6390" w:type="dxa"/>
            <w:shd w:val="clear" w:color="auto" w:fill="0D0D0D" w:themeFill="text1" w:themeFillTint="F2"/>
          </w:tcPr>
          <w:p w:rsidR="0072513F" w:rsidRPr="008B6CCF" w:rsidRDefault="0072513F" w:rsidP="0072513F">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72513F" w:rsidRPr="008B6CCF" w:rsidRDefault="0072513F" w:rsidP="0072513F">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72513F" w:rsidRPr="008B6CCF" w:rsidRDefault="0072513F" w:rsidP="0072513F">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72513F" w:rsidRPr="008B6CCF" w:rsidRDefault="0072513F" w:rsidP="0072513F">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Comments</w:t>
            </w:r>
          </w:p>
        </w:tc>
      </w:tr>
      <w:tr w:rsidR="004D0D03" w:rsidRPr="00D02611" w:rsidTr="00196044">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4D0D03" w:rsidRPr="00D2096E" w:rsidRDefault="00322039" w:rsidP="004D0D03">
            <w:pPr>
              <w:shd w:val="clear" w:color="auto" w:fill="FFFFFF" w:themeFill="background1"/>
              <w:rPr>
                <w:b w:val="0"/>
              </w:rPr>
            </w:pPr>
            <w:hyperlink r:id="rId22" w:history="1">
              <w:r w:rsidR="0072513F" w:rsidRPr="00322039">
                <w:rPr>
                  <w:rStyle w:val="Hyperlink"/>
                  <w:b w:val="0"/>
                  <w:bCs w:val="0"/>
                </w:rPr>
                <w:t>Business Services Goal 1 – Professional Development – Current Software Interfaces</w:t>
              </w:r>
            </w:hyperlink>
          </w:p>
        </w:tc>
        <w:tc>
          <w:tcPr>
            <w:tcW w:w="6390" w:type="dxa"/>
            <w:shd w:val="clear" w:color="auto" w:fill="auto"/>
          </w:tcPr>
          <w:p w:rsidR="00196044" w:rsidRPr="003266C7" w:rsidRDefault="00196044" w:rsidP="00196044">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 xml:space="preserve">From Section IIB in the APR Goal Form </w:t>
            </w:r>
            <w:r w:rsidR="00D121B5">
              <w:rPr>
                <w:b/>
                <w:i/>
              </w:rPr>
              <w:t>18/19</w:t>
            </w:r>
            <w:r w:rsidRPr="003266C7">
              <w:rPr>
                <w:b/>
                <w:i/>
              </w:rPr>
              <w:t>:</w:t>
            </w:r>
          </w:p>
          <w:p w:rsidR="004D0D03" w:rsidRPr="00D02611" w:rsidRDefault="0072513F" w:rsidP="004D0D03">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rsidRPr="0072513F">
              <w:t xml:space="preserve">The Business Office is requesting financial resources to send 1-2 of its employee’s to three annual user group conferences (CISOA Conference, </w:t>
            </w:r>
            <w:proofErr w:type="spellStart"/>
            <w:r w:rsidRPr="0072513F">
              <w:t>Ellucian</w:t>
            </w:r>
            <w:proofErr w:type="spellEnd"/>
            <w:r w:rsidRPr="0072513F">
              <w:t xml:space="preserve"> </w:t>
            </w:r>
            <w:proofErr w:type="spellStart"/>
            <w:r w:rsidRPr="0072513F">
              <w:t>ELive</w:t>
            </w:r>
            <w:proofErr w:type="spellEnd"/>
            <w:r w:rsidRPr="0072513F">
              <w:t>, QSS User Group) to stay abreast in the financial software used to maintain the District’s financial records. While financial regulations change on an annual basis, so does the software used to help ensure compliance to those regulations. Sending the appropriate functional users to these annual conferences ensures that the District stays up to date in the latest software changes &amp; can continue to develop stronger control mechanisms to stay compliant on Accreditation Standards and compliance criteria set by the Department of Education &amp; Department of Labor.</w:t>
            </w:r>
          </w:p>
        </w:tc>
        <w:tc>
          <w:tcPr>
            <w:tcW w:w="8550" w:type="dxa"/>
            <w:shd w:val="clear" w:color="auto" w:fill="auto"/>
          </w:tcPr>
          <w:p w:rsidR="0072513F" w:rsidRDefault="0072513F" w:rsidP="0072513F">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From Section IIA in the APR for 19/20:</w:t>
            </w:r>
          </w:p>
          <w:p w:rsidR="0072513F" w:rsidRDefault="0072513F" w:rsidP="0072513F">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Reduction of Accounts Payable warrant turn around at the county by 2-3 days.</w:t>
            </w:r>
          </w:p>
          <w:p w:rsidR="0072513F" w:rsidRDefault="0072513F" w:rsidP="0072513F">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Reduction of payroll auditing by approximately 3 days per month (288 hours).</w:t>
            </w:r>
          </w:p>
          <w:p w:rsidR="0072513F" w:rsidRDefault="0072513F" w:rsidP="0072513F">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Reduction of leave balance tracking reduced by approximately 3 hours per month due to balances printed on the warrants.</w:t>
            </w:r>
          </w:p>
          <w:p w:rsidR="0072513F" w:rsidRDefault="0072513F" w:rsidP="0072513F">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Budgets continued to be posted into Banner an average of 115 days sooner than prior to process changes.</w:t>
            </w:r>
          </w:p>
          <w:p w:rsidR="0072513F" w:rsidRDefault="0072513F" w:rsidP="0072513F">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 xml:space="preserve">25% more District staff trainings held in 2018-19 than in 2017-18 for staff cross-trained across department activities. </w:t>
            </w:r>
          </w:p>
          <w:p w:rsidR="0072513F" w:rsidRDefault="0072513F" w:rsidP="0072513F">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Resolution of more than 50% more stale dated check resolutions within 2018-19 due to new processes implemented.</w:t>
            </w:r>
          </w:p>
          <w:p w:rsidR="004D0D03" w:rsidRDefault="0072513F" w:rsidP="0072513F">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 xml:space="preserve">Zero Federal, State or Internal Control audit findings within the 2018-19 Annual Audit.  </w:t>
            </w:r>
          </w:p>
          <w:p w:rsidR="0072513F" w:rsidRDefault="0072513F" w:rsidP="0072513F">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72513F" w:rsidRDefault="0072513F" w:rsidP="0072513F">
            <w:pPr>
              <w:shd w:val="clear" w:color="auto" w:fill="FFFFFF" w:themeFill="background1"/>
              <w:cnfStyle w:val="000000000000" w:firstRow="0" w:lastRow="0" w:firstColumn="0" w:lastColumn="0" w:oddVBand="0" w:evenVBand="0" w:oddHBand="0" w:evenHBand="0" w:firstRowFirstColumn="0" w:firstRowLastColumn="0" w:lastRowFirstColumn="0" w:lastRowLastColumn="0"/>
            </w:pPr>
            <w:hyperlink r:id="rId23" w:history="1">
              <w:r w:rsidRPr="0072513F">
                <w:rPr>
                  <w:rStyle w:val="Hyperlink"/>
                </w:rPr>
                <w:t>Fiscal Services_1920</w:t>
              </w:r>
            </w:hyperlink>
          </w:p>
          <w:p w:rsidR="0072513F" w:rsidRPr="00D02611" w:rsidRDefault="0072513F" w:rsidP="0072513F">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auto"/>
          </w:tcPr>
          <w:p w:rsidR="004D0D03" w:rsidRPr="00322039" w:rsidRDefault="004D0D03" w:rsidP="004D0D03">
            <w:pPr>
              <w:shd w:val="clear" w:color="auto" w:fill="FFFFFF" w:themeFill="background1"/>
              <w:cnfStyle w:val="000000000000" w:firstRow="0" w:lastRow="0" w:firstColumn="0" w:lastColumn="0" w:oddVBand="0" w:evenVBand="0" w:oddHBand="0" w:evenHBand="0" w:firstRowFirstColumn="0" w:firstRowLastColumn="0" w:lastRowFirstColumn="0" w:lastRowLastColumn="0"/>
              <w:rPr>
                <w:color w:val="C00000"/>
              </w:rPr>
            </w:pPr>
            <w:bookmarkStart w:id="0" w:name="_GoBack"/>
            <w:bookmarkEnd w:id="0"/>
          </w:p>
        </w:tc>
      </w:tr>
      <w:tr w:rsidR="0072513F" w:rsidRPr="00D02611" w:rsidTr="003B3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72513F" w:rsidRPr="008B6CCF" w:rsidRDefault="0072513F" w:rsidP="0072513F">
            <w:pPr>
              <w:rPr>
                <w:color w:val="FFFFFF" w:themeColor="background1"/>
              </w:rPr>
            </w:pPr>
            <w:r w:rsidRPr="008B6CCF">
              <w:rPr>
                <w:color w:val="FFFFFF" w:themeColor="background1"/>
              </w:rPr>
              <w:lastRenderedPageBreak/>
              <w:t>Funded Goal Title</w:t>
            </w:r>
          </w:p>
        </w:tc>
        <w:tc>
          <w:tcPr>
            <w:tcW w:w="6390" w:type="dxa"/>
            <w:shd w:val="clear" w:color="auto" w:fill="0D0D0D" w:themeFill="text1" w:themeFillTint="F2"/>
          </w:tcPr>
          <w:p w:rsidR="0072513F" w:rsidRPr="008B6CCF" w:rsidRDefault="0072513F" w:rsidP="0072513F">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72513F" w:rsidRPr="008B6CCF" w:rsidRDefault="0072513F" w:rsidP="0072513F">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72513F" w:rsidRPr="008B6CCF" w:rsidRDefault="0072513F" w:rsidP="0072513F">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72513F" w:rsidRPr="008B6CCF" w:rsidRDefault="0072513F" w:rsidP="0072513F">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Comments</w:t>
            </w:r>
          </w:p>
        </w:tc>
      </w:tr>
      <w:tr w:rsidR="00196044" w:rsidRPr="00196044" w:rsidTr="0072513F">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72513F" w:rsidRPr="00196044" w:rsidRDefault="00526B06" w:rsidP="0072513F">
            <w:pPr>
              <w:rPr>
                <w:b w:val="0"/>
              </w:rPr>
            </w:pPr>
            <w:hyperlink r:id="rId24" w:history="1">
              <w:r w:rsidR="0072513F" w:rsidRPr="00526B06">
                <w:rPr>
                  <w:rStyle w:val="Hyperlink"/>
                  <w:b w:val="0"/>
                  <w:bCs w:val="0"/>
                </w:rPr>
                <w:t>Information Technology Goal 6 – Update Voice Gateway</w:t>
              </w:r>
            </w:hyperlink>
          </w:p>
        </w:tc>
        <w:tc>
          <w:tcPr>
            <w:tcW w:w="6390" w:type="dxa"/>
            <w:shd w:val="clear" w:color="auto" w:fill="auto"/>
          </w:tcPr>
          <w:p w:rsidR="00196044" w:rsidRPr="00196044" w:rsidRDefault="00196044" w:rsidP="00196044">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196044">
              <w:rPr>
                <w:b/>
                <w:i/>
              </w:rPr>
              <w:t xml:space="preserve">From Section IIB in the APR Goal Form </w:t>
            </w:r>
            <w:r w:rsidR="00D121B5">
              <w:rPr>
                <w:b/>
                <w:i/>
              </w:rPr>
              <w:t>18/19</w:t>
            </w:r>
            <w:r w:rsidRPr="00196044">
              <w:rPr>
                <w:b/>
                <w:i/>
              </w:rPr>
              <w:t>:</w:t>
            </w:r>
          </w:p>
          <w:p w:rsidR="00196044" w:rsidRPr="00196044" w:rsidRDefault="00196044" w:rsidP="00196044">
            <w:pPr>
              <w:cnfStyle w:val="000000000000" w:firstRow="0" w:lastRow="0" w:firstColumn="0" w:lastColumn="0" w:oddVBand="0" w:evenVBand="0" w:oddHBand="0" w:evenHBand="0" w:firstRowFirstColumn="0" w:firstRowLastColumn="0" w:lastRowFirstColumn="0" w:lastRowLastColumn="0"/>
            </w:pPr>
            <w:r w:rsidRPr="00196044">
              <w:t>The voice gateway referenced in this program goal is housed in the district's data center. The voice gateway serves as the main channel through which all voice (telephone) traffic flows in and out of the district. The current voice gateway is a Cisco device, and is approximately 13 years old. The voice gateway is out of warranty and far beyond its expected service life.</w:t>
            </w:r>
            <w:r w:rsidR="00526B06">
              <w:t xml:space="preserve"> </w:t>
            </w:r>
          </w:p>
          <w:p w:rsidR="00196044" w:rsidRPr="00196044" w:rsidRDefault="00196044" w:rsidP="00196044">
            <w:pPr>
              <w:cnfStyle w:val="000000000000" w:firstRow="0" w:lastRow="0" w:firstColumn="0" w:lastColumn="0" w:oddVBand="0" w:evenVBand="0" w:oddHBand="0" w:evenHBand="0" w:firstRowFirstColumn="0" w:firstRowLastColumn="0" w:lastRowFirstColumn="0" w:lastRowLastColumn="0"/>
            </w:pPr>
            <w:r w:rsidRPr="00196044">
              <w:t>Research conducted by IDC indicates that the failure rate for devices that are not replaced when their manufacturers recommend increases by 85%, creating a serious risk for mission critical resources. Loss of the current voice gateway would cripple the district's communications capabilities. Any loss of the voice gateway would pose untenable risks to district safety and communications capabilities.</w:t>
            </w:r>
          </w:p>
          <w:p w:rsidR="0072513F" w:rsidRDefault="00196044" w:rsidP="00196044">
            <w:pPr>
              <w:cnfStyle w:val="000000000000" w:firstRow="0" w:lastRow="0" w:firstColumn="0" w:lastColumn="0" w:oddVBand="0" w:evenVBand="0" w:oddHBand="0" w:evenHBand="0" w:firstRowFirstColumn="0" w:firstRowLastColumn="0" w:lastRowFirstColumn="0" w:lastRowLastColumn="0"/>
            </w:pPr>
            <w:r w:rsidRPr="00196044">
              <w:t>Updating the voice gateway will improve the reliability and stability of the districts communications resources. Performance will also be significantly improved due to advances in gateway architecture.</w:t>
            </w:r>
          </w:p>
          <w:p w:rsidR="00196044" w:rsidRPr="00196044" w:rsidRDefault="00196044" w:rsidP="00196044">
            <w:pPr>
              <w:cnfStyle w:val="000000000000" w:firstRow="0" w:lastRow="0" w:firstColumn="0" w:lastColumn="0" w:oddVBand="0" w:evenVBand="0" w:oddHBand="0" w:evenHBand="0" w:firstRowFirstColumn="0" w:firstRowLastColumn="0" w:lastRowFirstColumn="0" w:lastRowLastColumn="0"/>
            </w:pPr>
          </w:p>
        </w:tc>
        <w:tc>
          <w:tcPr>
            <w:tcW w:w="8550" w:type="dxa"/>
            <w:shd w:val="clear" w:color="auto" w:fill="auto"/>
          </w:tcPr>
          <w:p w:rsidR="00196044" w:rsidRDefault="00196044" w:rsidP="00196044">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From Section IIA in the APR for 19/20:</w:t>
            </w:r>
          </w:p>
          <w:p w:rsidR="0072513F" w:rsidRDefault="0072513F" w:rsidP="0072513F">
            <w:pPr>
              <w:cnfStyle w:val="000000000000" w:firstRow="0" w:lastRow="0" w:firstColumn="0" w:lastColumn="0" w:oddVBand="0" w:evenVBand="0" w:oddHBand="0" w:evenHBand="0" w:firstRowFirstColumn="0" w:firstRowLastColumn="0" w:lastRowFirstColumn="0" w:lastRowLastColumn="0"/>
              <w:rPr>
                <w:b/>
              </w:rPr>
            </w:pPr>
          </w:p>
          <w:p w:rsidR="00196044" w:rsidRDefault="00196044" w:rsidP="00196044">
            <w:pPr>
              <w:ind w:left="720" w:hanging="360"/>
              <w:cnfStyle w:val="000000000000" w:firstRow="0" w:lastRow="0" w:firstColumn="0" w:lastColumn="0" w:oddVBand="0" w:evenVBand="0" w:oddHBand="0" w:evenHBand="0" w:firstRowFirstColumn="0" w:firstRowLastColumn="0" w:lastRowFirstColumn="0" w:lastRowLastColumn="0"/>
            </w:pPr>
            <w:r>
              <w:t>1.</w:t>
            </w:r>
            <w:r>
              <w:tab/>
              <w:t>Newly installed UPS's continue to ensure maximum uptime of equipment (99.97%) and have reduced the risk of phone service disruption (0%) in associated areas.</w:t>
            </w:r>
          </w:p>
          <w:p w:rsidR="00196044" w:rsidRDefault="00196044" w:rsidP="0072513F">
            <w:pPr>
              <w:cnfStyle w:val="000000000000" w:firstRow="0" w:lastRow="0" w:firstColumn="0" w:lastColumn="0" w:oddVBand="0" w:evenVBand="0" w:oddHBand="0" w:evenHBand="0" w:firstRowFirstColumn="0" w:firstRowLastColumn="0" w:lastRowFirstColumn="0" w:lastRowLastColumn="0"/>
              <w:rPr>
                <w:b/>
              </w:rPr>
            </w:pPr>
          </w:p>
          <w:p w:rsidR="00196044" w:rsidRPr="003266C7" w:rsidRDefault="00196044" w:rsidP="00196044">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From Section IIB in the APR for 19/20:</w:t>
            </w:r>
          </w:p>
          <w:p w:rsidR="00196044" w:rsidRDefault="00196044" w:rsidP="00196044">
            <w:pPr>
              <w:ind w:left="720" w:hanging="360"/>
              <w:cnfStyle w:val="000000000000" w:firstRow="0" w:lastRow="0" w:firstColumn="0" w:lastColumn="0" w:oddVBand="0" w:evenVBand="0" w:oddHBand="0" w:evenHBand="0" w:firstRowFirstColumn="0" w:firstRowLastColumn="0" w:lastRowFirstColumn="0" w:lastRowLastColumn="0"/>
            </w:pPr>
            <w:r>
              <w:t>1.</w:t>
            </w:r>
            <w:r>
              <w:tab/>
              <w:t>Activities to achieve this goal were effective. New UPS equipment was installed.</w:t>
            </w:r>
          </w:p>
          <w:p w:rsidR="00196044" w:rsidRDefault="00196044" w:rsidP="0072513F">
            <w:pPr>
              <w:cnfStyle w:val="000000000000" w:firstRow="0" w:lastRow="0" w:firstColumn="0" w:lastColumn="0" w:oddVBand="0" w:evenVBand="0" w:oddHBand="0" w:evenHBand="0" w:firstRowFirstColumn="0" w:firstRowLastColumn="0" w:lastRowFirstColumn="0" w:lastRowLastColumn="0"/>
              <w:rPr>
                <w:b/>
              </w:rPr>
            </w:pPr>
          </w:p>
          <w:p w:rsidR="00196044" w:rsidRDefault="00196044" w:rsidP="00196044">
            <w:pPr>
              <w:shd w:val="clear" w:color="auto" w:fill="FFFFFF" w:themeFill="background1"/>
              <w:cnfStyle w:val="000000000000" w:firstRow="0" w:lastRow="0" w:firstColumn="0" w:lastColumn="0" w:oddVBand="0" w:evenVBand="0" w:oddHBand="0" w:evenHBand="0" w:firstRowFirstColumn="0" w:firstRowLastColumn="0" w:lastRowFirstColumn="0" w:lastRowLastColumn="0"/>
            </w:pPr>
            <w:hyperlink r:id="rId25" w:history="1">
              <w:r w:rsidRPr="00D33567">
                <w:rPr>
                  <w:rStyle w:val="Hyperlink"/>
                </w:rPr>
                <w:t>Information Technology_1920</w:t>
              </w:r>
            </w:hyperlink>
          </w:p>
          <w:p w:rsidR="00196044" w:rsidRDefault="00196044" w:rsidP="00196044">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hyperlink r:id="rId26" w:history="1">
              <w:r w:rsidRPr="00D33567">
                <w:rPr>
                  <w:rStyle w:val="Hyperlink"/>
                </w:rPr>
                <w:t>Information Technology Supplemental Information</w:t>
              </w:r>
            </w:hyperlink>
            <w:r>
              <w:rPr>
                <w:b/>
                <w:i/>
              </w:rPr>
              <w:t xml:space="preserve"> </w:t>
            </w:r>
          </w:p>
          <w:p w:rsidR="00196044" w:rsidRPr="00196044" w:rsidRDefault="00196044" w:rsidP="0072513F">
            <w:pPr>
              <w:cnfStyle w:val="000000000000" w:firstRow="0" w:lastRow="0" w:firstColumn="0" w:lastColumn="0" w:oddVBand="0" w:evenVBand="0" w:oddHBand="0" w:evenHBand="0" w:firstRowFirstColumn="0" w:firstRowLastColumn="0" w:lastRowFirstColumn="0" w:lastRowLastColumn="0"/>
              <w:rPr>
                <w:b/>
              </w:rPr>
            </w:pPr>
          </w:p>
        </w:tc>
        <w:tc>
          <w:tcPr>
            <w:tcW w:w="2520" w:type="dxa"/>
            <w:shd w:val="clear" w:color="auto" w:fill="auto"/>
          </w:tcPr>
          <w:p w:rsidR="0072513F" w:rsidRPr="00322039" w:rsidRDefault="0072513F" w:rsidP="0072513F">
            <w:pPr>
              <w:cnfStyle w:val="000000000000" w:firstRow="0" w:lastRow="0" w:firstColumn="0" w:lastColumn="0" w:oddVBand="0" w:evenVBand="0" w:oddHBand="0" w:evenHBand="0" w:firstRowFirstColumn="0" w:firstRowLastColumn="0" w:lastRowFirstColumn="0" w:lastRowLastColumn="0"/>
              <w:rPr>
                <w:b/>
                <w:color w:val="C00000"/>
              </w:rPr>
            </w:pPr>
          </w:p>
        </w:tc>
      </w:tr>
      <w:tr w:rsidR="00196044" w:rsidRPr="00196044" w:rsidTr="00666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196044" w:rsidRPr="008B6CCF" w:rsidRDefault="00196044" w:rsidP="00196044">
            <w:pPr>
              <w:rPr>
                <w:color w:val="FFFFFF" w:themeColor="background1"/>
              </w:rPr>
            </w:pPr>
            <w:r w:rsidRPr="008B6CCF">
              <w:rPr>
                <w:color w:val="FFFFFF" w:themeColor="background1"/>
              </w:rPr>
              <w:t>Funded Goal Title</w:t>
            </w:r>
          </w:p>
        </w:tc>
        <w:tc>
          <w:tcPr>
            <w:tcW w:w="6390" w:type="dxa"/>
            <w:shd w:val="clear" w:color="auto" w:fill="0D0D0D" w:themeFill="text1" w:themeFillTint="F2"/>
          </w:tcPr>
          <w:p w:rsidR="00196044" w:rsidRPr="008B6CCF" w:rsidRDefault="00196044" w:rsidP="00196044">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196044" w:rsidRPr="008B6CCF" w:rsidRDefault="00196044" w:rsidP="00196044">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196044" w:rsidRPr="008B6CCF" w:rsidRDefault="00196044" w:rsidP="00196044">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196044" w:rsidRPr="008B6CCF" w:rsidRDefault="00196044" w:rsidP="00196044">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Comments</w:t>
            </w:r>
          </w:p>
        </w:tc>
      </w:tr>
      <w:tr w:rsidR="00196044" w:rsidRPr="00196044" w:rsidTr="0072513F">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72513F" w:rsidRPr="00196044" w:rsidRDefault="00526B06" w:rsidP="0072513F">
            <w:pPr>
              <w:rPr>
                <w:b w:val="0"/>
              </w:rPr>
            </w:pPr>
            <w:hyperlink r:id="rId27" w:history="1">
              <w:r w:rsidRPr="00526B06">
                <w:rPr>
                  <w:rStyle w:val="Hyperlink"/>
                  <w:b w:val="0"/>
                  <w:bCs w:val="0"/>
                </w:rPr>
                <w:t>Tutoring Goal 3 – Tables for Learning Center Labs</w:t>
              </w:r>
            </w:hyperlink>
          </w:p>
        </w:tc>
        <w:tc>
          <w:tcPr>
            <w:tcW w:w="6390" w:type="dxa"/>
            <w:shd w:val="clear" w:color="auto" w:fill="auto"/>
          </w:tcPr>
          <w:p w:rsidR="00526B06" w:rsidRPr="00196044" w:rsidRDefault="00526B06" w:rsidP="00526B06">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196044">
              <w:rPr>
                <w:b/>
                <w:i/>
              </w:rPr>
              <w:t xml:space="preserve">From Section IIB in the APR Goal Form </w:t>
            </w:r>
            <w:r w:rsidR="00D121B5">
              <w:rPr>
                <w:b/>
                <w:i/>
              </w:rPr>
              <w:t>18/19</w:t>
            </w:r>
            <w:r w:rsidRPr="00196044">
              <w:rPr>
                <w:b/>
                <w:i/>
              </w:rPr>
              <w:t>:</w:t>
            </w:r>
          </w:p>
          <w:p w:rsidR="00526B06" w:rsidRPr="00526B06" w:rsidRDefault="00526B06" w:rsidP="00526B06">
            <w:pPr>
              <w:cnfStyle w:val="000000000000" w:firstRow="0" w:lastRow="0" w:firstColumn="0" w:lastColumn="0" w:oddVBand="0" w:evenVBand="0" w:oddHBand="0" w:evenHBand="0" w:firstRowFirstColumn="0" w:firstRowLastColumn="0" w:lastRowFirstColumn="0" w:lastRowLastColumn="0"/>
            </w:pPr>
            <w:r w:rsidRPr="00526B06">
              <w:t>I anticipate that lab usage will increase due to using the space to its maximum capacity for both groups and individuals. The new tables will be more modern, with plug-in ports, allowing students to charge up their electronics.  Current tables do not have this capability. Library usage will potentially increase as well, as they would be getting their seven tables back, which are currently in the labs.</w:t>
            </w:r>
          </w:p>
        </w:tc>
        <w:tc>
          <w:tcPr>
            <w:tcW w:w="8550" w:type="dxa"/>
            <w:shd w:val="clear" w:color="auto" w:fill="auto"/>
          </w:tcPr>
          <w:p w:rsidR="00526B06" w:rsidRDefault="00526B06" w:rsidP="00526B06">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From Section IIA in the APR for 19/20:</w:t>
            </w:r>
          </w:p>
          <w:p w:rsidR="00526B06" w:rsidRPr="00526B06" w:rsidRDefault="00526B06" w:rsidP="00526B06">
            <w:pPr>
              <w:cnfStyle w:val="000000000000" w:firstRow="0" w:lastRow="0" w:firstColumn="0" w:lastColumn="0" w:oddVBand="0" w:evenVBand="0" w:oddHBand="0" w:evenHBand="0" w:firstRowFirstColumn="0" w:firstRowLastColumn="0" w:lastRowFirstColumn="0" w:lastRowLastColumn="0"/>
            </w:pPr>
            <w:r w:rsidRPr="00526B06">
              <w:t xml:space="preserve">During Fall 2018, the Math Lab had 2841 log ins. This is 1238 less than the previous fall. Fall 2018, the Writing Lab had 2160 logins. This is 871 more than the previous fall. Spring 2019, the Math Lab had 2324 log ins. This is 585 more than the previous spring. In spring the Writing Lab had 1494 log ins. This is 567 more than the previous spring. </w:t>
            </w:r>
          </w:p>
          <w:p w:rsidR="00526B06" w:rsidRDefault="00526B06" w:rsidP="00526B06">
            <w:pPr>
              <w:cnfStyle w:val="000000000000" w:firstRow="0" w:lastRow="0" w:firstColumn="0" w:lastColumn="0" w:oddVBand="0" w:evenVBand="0" w:oddHBand="0" w:evenHBand="0" w:firstRowFirstColumn="0" w:firstRowLastColumn="0" w:lastRowFirstColumn="0" w:lastRowLastColumn="0"/>
            </w:pPr>
            <w:r w:rsidRPr="00526B06">
              <w:t>Fall 2018, students logged 4194 hours in the Math Lab and 2699 hours in the Writing Lab. This is 1525 more hours than the previous fall (115 for math and 1410 for writing).  Spring 2019, students logged 3177 hours in the math lab and 1864 hours in the Writing Lab. This is 1562 less hours than the previous spring for math, and 605 more hours for writing.</w:t>
            </w:r>
          </w:p>
          <w:p w:rsidR="00526B06" w:rsidRPr="00196044" w:rsidRDefault="00526B06" w:rsidP="00526B06">
            <w:pPr>
              <w:cnfStyle w:val="000000000000" w:firstRow="0" w:lastRow="0" w:firstColumn="0" w:lastColumn="0" w:oddVBand="0" w:evenVBand="0" w:oddHBand="0" w:evenHBand="0" w:firstRowFirstColumn="0" w:firstRowLastColumn="0" w:lastRowFirstColumn="0" w:lastRowLastColumn="0"/>
              <w:rPr>
                <w:b/>
              </w:rPr>
            </w:pPr>
            <w:hyperlink r:id="rId28" w:history="1">
              <w:r w:rsidRPr="00526B06">
                <w:rPr>
                  <w:rStyle w:val="Hyperlink"/>
                </w:rPr>
                <w:t>Tutoring_1920</w:t>
              </w:r>
            </w:hyperlink>
          </w:p>
        </w:tc>
        <w:tc>
          <w:tcPr>
            <w:tcW w:w="2520" w:type="dxa"/>
            <w:shd w:val="clear" w:color="auto" w:fill="auto"/>
          </w:tcPr>
          <w:p w:rsidR="0072513F" w:rsidRPr="00322039" w:rsidRDefault="0072513F" w:rsidP="0072513F">
            <w:pPr>
              <w:cnfStyle w:val="000000000000" w:firstRow="0" w:lastRow="0" w:firstColumn="0" w:lastColumn="0" w:oddVBand="0" w:evenVBand="0" w:oddHBand="0" w:evenHBand="0" w:firstRowFirstColumn="0" w:firstRowLastColumn="0" w:lastRowFirstColumn="0" w:lastRowLastColumn="0"/>
              <w:rPr>
                <w:b/>
                <w:color w:val="C00000"/>
              </w:rPr>
            </w:pPr>
          </w:p>
        </w:tc>
      </w:tr>
      <w:tr w:rsidR="00526B06" w:rsidRPr="00196044" w:rsidTr="00543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526B06" w:rsidRPr="008B6CCF" w:rsidRDefault="00526B06" w:rsidP="00526B06">
            <w:pPr>
              <w:rPr>
                <w:color w:val="FFFFFF" w:themeColor="background1"/>
              </w:rPr>
            </w:pPr>
            <w:r w:rsidRPr="008B6CCF">
              <w:rPr>
                <w:color w:val="FFFFFF" w:themeColor="background1"/>
              </w:rPr>
              <w:lastRenderedPageBreak/>
              <w:t>Funded Goal Title</w:t>
            </w:r>
          </w:p>
        </w:tc>
        <w:tc>
          <w:tcPr>
            <w:tcW w:w="6390" w:type="dxa"/>
            <w:shd w:val="clear" w:color="auto" w:fill="0D0D0D" w:themeFill="text1" w:themeFillTint="F2"/>
          </w:tcPr>
          <w:p w:rsidR="00526B06" w:rsidRPr="008B6CCF" w:rsidRDefault="00526B06" w:rsidP="00526B06">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526B06" w:rsidRPr="008B6CCF" w:rsidRDefault="00526B06" w:rsidP="00526B06">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526B06" w:rsidRPr="008B6CCF" w:rsidRDefault="00526B06" w:rsidP="00526B06">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526B06" w:rsidRPr="008B6CCF" w:rsidRDefault="00526B06" w:rsidP="00526B06">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Comments</w:t>
            </w:r>
          </w:p>
        </w:tc>
      </w:tr>
      <w:tr w:rsidR="00196044" w:rsidRPr="00196044" w:rsidTr="0072513F">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72513F" w:rsidRPr="00526B06" w:rsidRDefault="000726B4" w:rsidP="0072513F">
            <w:pPr>
              <w:rPr>
                <w:b w:val="0"/>
              </w:rPr>
            </w:pPr>
            <w:hyperlink r:id="rId29" w:history="1">
              <w:r w:rsidR="00526B06" w:rsidRPr="000726B4">
                <w:rPr>
                  <w:rStyle w:val="Hyperlink"/>
                  <w:b w:val="0"/>
                  <w:bCs w:val="0"/>
                </w:rPr>
                <w:t>Office of Student Services Goal 1 – VPSS 2STEP</w:t>
              </w:r>
            </w:hyperlink>
            <w:r w:rsidR="00526B06">
              <w:rPr>
                <w:b w:val="0"/>
              </w:rPr>
              <w:t xml:space="preserve"> </w:t>
            </w:r>
          </w:p>
        </w:tc>
        <w:tc>
          <w:tcPr>
            <w:tcW w:w="6390" w:type="dxa"/>
            <w:shd w:val="clear" w:color="auto" w:fill="auto"/>
          </w:tcPr>
          <w:p w:rsidR="00526B06" w:rsidRPr="00196044" w:rsidRDefault="00526B06" w:rsidP="00526B06">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196044">
              <w:rPr>
                <w:b/>
                <w:i/>
              </w:rPr>
              <w:t xml:space="preserve">From Section IIB in the APR Goal Form </w:t>
            </w:r>
            <w:r w:rsidR="00D121B5">
              <w:rPr>
                <w:b/>
                <w:i/>
              </w:rPr>
              <w:t>18/19</w:t>
            </w:r>
            <w:r w:rsidRPr="00196044">
              <w:rPr>
                <w:b/>
                <w:i/>
              </w:rPr>
              <w:t>:</w:t>
            </w:r>
          </w:p>
          <w:p w:rsidR="000726B4" w:rsidRDefault="000726B4" w:rsidP="000726B4">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EMP: Student Learning/Success: </w:t>
            </w:r>
          </w:p>
          <w:p w:rsidR="000726B4" w:rsidRDefault="000726B4" w:rsidP="000726B4">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1.1.2. Better alignment of course offerings and schedules based on students’ needs; </w:t>
            </w:r>
          </w:p>
          <w:p w:rsidR="000726B4" w:rsidRDefault="000726B4" w:rsidP="000726B4">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1.1.3. Use data to identify patterns of demand to inform schedule building to support student goal completion; </w:t>
            </w:r>
          </w:p>
          <w:p w:rsidR="000726B4" w:rsidRDefault="000726B4" w:rsidP="000726B4">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1.2.1. Identify barriers for students in course completion and work to remove them; </w:t>
            </w:r>
          </w:p>
          <w:p w:rsidR="000726B4" w:rsidRDefault="000726B4" w:rsidP="000726B4">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1.3.2. Improve degree completion by focusing on the student interaction with the college at each of the four </w:t>
            </w:r>
          </w:p>
          <w:p w:rsidR="000726B4" w:rsidRDefault="000726B4" w:rsidP="000726B4">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phases: </w:t>
            </w:r>
          </w:p>
          <w:p w:rsidR="000726B4" w:rsidRDefault="000726B4" w:rsidP="000726B4">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*connection---an assessment of student interest in college enrollment to application for admissions, </w:t>
            </w:r>
          </w:p>
          <w:p w:rsidR="000726B4" w:rsidRDefault="000726B4" w:rsidP="000726B4">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*entry---an assessment of student enrollment and completion of first college-level course, </w:t>
            </w:r>
          </w:p>
          <w:p w:rsidR="000726B4" w:rsidRDefault="000726B4" w:rsidP="000726B4">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*progress—an assessment of student’s entry into a program of study up to 75% of requirement completion, and </w:t>
            </w:r>
          </w:p>
          <w:p w:rsidR="000726B4" w:rsidRDefault="000726B4" w:rsidP="000726B4">
            <w:pPr>
              <w:pStyle w:val="Defaul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*completion—an assessment of student’s completion of program of study and acquisition of academic credential </w:t>
            </w:r>
          </w:p>
          <w:p w:rsidR="0072513F" w:rsidRPr="00526B06" w:rsidRDefault="000726B4" w:rsidP="000726B4">
            <w:pPr>
              <w:cnfStyle w:val="000000000000" w:firstRow="0" w:lastRow="0" w:firstColumn="0" w:lastColumn="0" w:oddVBand="0" w:evenVBand="0" w:oddHBand="0" w:evenHBand="0" w:firstRowFirstColumn="0" w:firstRowLastColumn="0" w:lastRowFirstColumn="0" w:lastRowLastColumn="0"/>
            </w:pPr>
            <w:proofErr w:type="gramStart"/>
            <w:r>
              <w:t>with</w:t>
            </w:r>
            <w:proofErr w:type="gramEnd"/>
            <w:r>
              <w:t xml:space="preserve"> labor market value or transfer to four-year universities. </w:t>
            </w:r>
          </w:p>
        </w:tc>
        <w:tc>
          <w:tcPr>
            <w:tcW w:w="8550" w:type="dxa"/>
            <w:shd w:val="clear" w:color="auto" w:fill="auto"/>
          </w:tcPr>
          <w:p w:rsidR="000726B4" w:rsidRDefault="000726B4" w:rsidP="000726B4">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From Section IIA in the APR for 19/20:</w:t>
            </w:r>
          </w:p>
          <w:p w:rsidR="000726B4" w:rsidRDefault="000726B4" w:rsidP="000726B4">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In consultation with the Academic Senate, the office of the Vice President of Student Services successfully</w:t>
            </w:r>
          </w:p>
          <w:p w:rsidR="000726B4" w:rsidRDefault="000726B4" w:rsidP="000726B4">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coordinated the implementation of the following projects that will improve student success:</w:t>
            </w:r>
          </w:p>
          <w:p w:rsidR="000726B4" w:rsidRDefault="000726B4" w:rsidP="00621C8D">
            <w:pPr>
              <w:pStyle w:val="ListParagraph"/>
              <w:numPr>
                <w:ilvl w:val="0"/>
                <w:numId w:val="1"/>
              </w:numPr>
              <w:shd w:val="clear" w:color="auto" w:fill="FFFFFF" w:themeFill="background1"/>
              <w:cnfStyle w:val="000000000000" w:firstRow="0" w:lastRow="0" w:firstColumn="0" w:lastColumn="0" w:oddVBand="0" w:evenVBand="0" w:oddHBand="0" w:evenHBand="0" w:firstRowFirstColumn="0" w:firstRowLastColumn="0" w:lastRowFirstColumn="0" w:lastRowLastColumn="0"/>
            </w:pPr>
            <w:r>
              <w:t>Organized the Guided Pathways oversight taskforce through extra-duty assignment to complete the Guided</w:t>
            </w:r>
            <w:r>
              <w:t xml:space="preserve"> Pathways Dashboard </w:t>
            </w:r>
            <w:hyperlink r:id="rId30" w:history="1">
              <w:r w:rsidRPr="00830251">
                <w:rPr>
                  <w:rStyle w:val="Hyperlink"/>
                </w:rPr>
                <w:t>https://d6jtdo9jhz4ae.cloudfront.net/clarify</w:t>
              </w:r>
            </w:hyperlink>
            <w:r>
              <w:t>).</w:t>
            </w:r>
          </w:p>
          <w:p w:rsidR="000726B4" w:rsidRDefault="000726B4" w:rsidP="000726B4">
            <w:pPr>
              <w:pStyle w:val="ListParagraph"/>
              <w:numPr>
                <w:ilvl w:val="0"/>
                <w:numId w:val="1"/>
              </w:numPr>
              <w:shd w:val="clear" w:color="auto" w:fill="FFFFFF" w:themeFill="background1"/>
              <w:cnfStyle w:val="000000000000" w:firstRow="0" w:lastRow="0" w:firstColumn="0" w:lastColumn="0" w:oddVBand="0" w:evenVBand="0" w:oddHBand="0" w:evenHBand="0" w:firstRowFirstColumn="0" w:firstRowLastColumn="0" w:lastRowFirstColumn="0" w:lastRowLastColumn="0"/>
            </w:pPr>
            <w:r>
              <w:t>Submitted the Student Equity and Achievement Plan (</w:t>
            </w:r>
            <w:hyperlink r:id="rId31" w:history="1">
              <w:r w:rsidRPr="00830251">
                <w:rPr>
                  <w:rStyle w:val="Hyperlink"/>
                </w:rPr>
                <w:t>https://nova.cccco.edu/sep/plans/6858/preview</w:t>
              </w:r>
            </w:hyperlink>
            <w:r>
              <w:t>)</w:t>
            </w:r>
          </w:p>
          <w:p w:rsidR="000726B4" w:rsidRDefault="000726B4" w:rsidP="000726B4">
            <w:pPr>
              <w:pStyle w:val="ListParagraph"/>
              <w:numPr>
                <w:ilvl w:val="0"/>
                <w:numId w:val="1"/>
              </w:numPr>
              <w:shd w:val="clear" w:color="auto" w:fill="FFFFFF" w:themeFill="background1"/>
              <w:cnfStyle w:val="000000000000" w:firstRow="0" w:lastRow="0" w:firstColumn="0" w:lastColumn="0" w:oddVBand="0" w:evenVBand="0" w:oddHBand="0" w:evenHBand="0" w:firstRowFirstColumn="0" w:firstRowLastColumn="0" w:lastRowFirstColumn="0" w:lastRowLastColumn="0"/>
            </w:pPr>
            <w:r>
              <w:t>Completed and Closed the Integrated Plan (</w:t>
            </w:r>
            <w:hyperlink r:id="rId32" w:history="1">
              <w:r w:rsidRPr="00830251">
                <w:rPr>
                  <w:rStyle w:val="Hyperlink"/>
                </w:rPr>
                <w:t>https://nova.cccco.edu/iplan/fiscal-reports/proposals/2139</w:t>
              </w:r>
            </w:hyperlink>
            <w:r>
              <w:t>)</w:t>
            </w:r>
          </w:p>
          <w:p w:rsidR="000726B4" w:rsidRDefault="000726B4" w:rsidP="000726B4">
            <w:pPr>
              <w:pStyle w:val="ListParagraph"/>
              <w:numPr>
                <w:ilvl w:val="0"/>
                <w:numId w:val="1"/>
              </w:numPr>
              <w:shd w:val="clear" w:color="auto" w:fill="FFFFFF" w:themeFill="background1"/>
              <w:cnfStyle w:val="000000000000" w:firstRow="0" w:lastRow="0" w:firstColumn="0" w:lastColumn="0" w:oddVBand="0" w:evenVBand="0" w:oddHBand="0" w:evenHBand="0" w:firstRowFirstColumn="0" w:firstRowLastColumn="0" w:lastRowFirstColumn="0" w:lastRowLastColumn="0"/>
            </w:pPr>
            <w:r>
              <w:t>Completed Certified SEA Annual Report (</w:t>
            </w:r>
            <w:hyperlink r:id="rId33" w:history="1">
              <w:r w:rsidRPr="00830251">
                <w:rPr>
                  <w:rStyle w:val="Hyperlink"/>
                </w:rPr>
                <w:t>https://nova.cccco.edu/sep/reporting/mid-allocation/6858/preview</w:t>
              </w:r>
            </w:hyperlink>
            <w:r>
              <w:t>)</w:t>
            </w:r>
          </w:p>
          <w:p w:rsidR="000726B4" w:rsidRDefault="000726B4" w:rsidP="001027CE">
            <w:pPr>
              <w:pStyle w:val="ListParagraph"/>
              <w:numPr>
                <w:ilvl w:val="0"/>
                <w:numId w:val="1"/>
              </w:numPr>
              <w:shd w:val="clear" w:color="auto" w:fill="FFFFFF" w:themeFill="background1"/>
              <w:cnfStyle w:val="000000000000" w:firstRow="0" w:lastRow="0" w:firstColumn="0" w:lastColumn="0" w:oddVBand="0" w:evenVBand="0" w:oddHBand="0" w:evenHBand="0" w:firstRowFirstColumn="0" w:firstRowLastColumn="0" w:lastRowFirstColumn="0" w:lastRowLastColumn="0"/>
            </w:pPr>
            <w:r>
              <w:t>Received $50,000 California Academic Partnership Program funding from California State University</w:t>
            </w:r>
            <w:r>
              <w:t xml:space="preserve"> </w:t>
            </w:r>
            <w:r>
              <w:t>Chancellor’s Office.</w:t>
            </w:r>
          </w:p>
          <w:p w:rsidR="0072513F" w:rsidRDefault="000726B4" w:rsidP="000726B4">
            <w:pPr>
              <w:pStyle w:val="ListParagraph"/>
              <w:numPr>
                <w:ilvl w:val="0"/>
                <w:numId w:val="1"/>
              </w:numPr>
              <w:shd w:val="clear" w:color="auto" w:fill="FFFFFF" w:themeFill="background1"/>
              <w:cnfStyle w:val="000000000000" w:firstRow="0" w:lastRow="0" w:firstColumn="0" w:lastColumn="0" w:oddVBand="0" w:evenVBand="0" w:oddHBand="0" w:evenHBand="0" w:firstRowFirstColumn="0" w:firstRowLastColumn="0" w:lastRowFirstColumn="0" w:lastRowLastColumn="0"/>
            </w:pPr>
            <w:r>
              <w:t>Received additional Rural Technology Grant fund for $107,997 to fund technology needs supporting student</w:t>
            </w:r>
            <w:r>
              <w:t xml:space="preserve"> </w:t>
            </w:r>
            <w:r>
              <w:t>completion, equity, and success.</w:t>
            </w:r>
          </w:p>
          <w:p w:rsidR="000726B4" w:rsidRDefault="000726B4" w:rsidP="000726B4">
            <w:pPr>
              <w:shd w:val="clear" w:color="auto" w:fill="FFFFFF" w:themeFill="background1"/>
              <w:cnfStyle w:val="000000000000" w:firstRow="0" w:lastRow="0" w:firstColumn="0" w:lastColumn="0" w:oddVBand="0" w:evenVBand="0" w:oddHBand="0" w:evenHBand="0" w:firstRowFirstColumn="0" w:firstRowLastColumn="0" w:lastRowFirstColumn="0" w:lastRowLastColumn="0"/>
            </w:pPr>
          </w:p>
          <w:p w:rsidR="000726B4" w:rsidRPr="00526B06" w:rsidRDefault="000726B4" w:rsidP="000726B4">
            <w:pPr>
              <w:shd w:val="clear" w:color="auto" w:fill="FFFFFF" w:themeFill="background1"/>
              <w:cnfStyle w:val="000000000000" w:firstRow="0" w:lastRow="0" w:firstColumn="0" w:lastColumn="0" w:oddVBand="0" w:evenVBand="0" w:oddHBand="0" w:evenHBand="0" w:firstRowFirstColumn="0" w:firstRowLastColumn="0" w:lastRowFirstColumn="0" w:lastRowLastColumn="0"/>
            </w:pPr>
            <w:hyperlink r:id="rId34" w:history="1">
              <w:r w:rsidRPr="000726B4">
                <w:rPr>
                  <w:rStyle w:val="Hyperlink"/>
                </w:rPr>
                <w:t>Office of Student Services_1920</w:t>
              </w:r>
            </w:hyperlink>
          </w:p>
        </w:tc>
        <w:tc>
          <w:tcPr>
            <w:tcW w:w="2520" w:type="dxa"/>
            <w:shd w:val="clear" w:color="auto" w:fill="auto"/>
          </w:tcPr>
          <w:p w:rsidR="0072513F" w:rsidRPr="00322039" w:rsidRDefault="0072513F" w:rsidP="0072513F">
            <w:pPr>
              <w:cnfStyle w:val="000000000000" w:firstRow="0" w:lastRow="0" w:firstColumn="0" w:lastColumn="0" w:oddVBand="0" w:evenVBand="0" w:oddHBand="0" w:evenHBand="0" w:firstRowFirstColumn="0" w:firstRowLastColumn="0" w:lastRowFirstColumn="0" w:lastRowLastColumn="0"/>
              <w:rPr>
                <w:color w:val="C00000"/>
              </w:rPr>
            </w:pPr>
          </w:p>
        </w:tc>
      </w:tr>
      <w:tr w:rsidR="000726B4" w:rsidRPr="00196044" w:rsidTr="00001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0726B4" w:rsidRPr="008B6CCF" w:rsidRDefault="000726B4" w:rsidP="000726B4">
            <w:pPr>
              <w:rPr>
                <w:color w:val="FFFFFF" w:themeColor="background1"/>
              </w:rPr>
            </w:pPr>
            <w:r w:rsidRPr="008B6CCF">
              <w:rPr>
                <w:color w:val="FFFFFF" w:themeColor="background1"/>
              </w:rPr>
              <w:t>Funded Goal Title</w:t>
            </w:r>
          </w:p>
        </w:tc>
        <w:tc>
          <w:tcPr>
            <w:tcW w:w="6390" w:type="dxa"/>
            <w:shd w:val="clear" w:color="auto" w:fill="0D0D0D" w:themeFill="text1" w:themeFillTint="F2"/>
          </w:tcPr>
          <w:p w:rsidR="000726B4" w:rsidRPr="008B6CCF" w:rsidRDefault="000726B4" w:rsidP="000726B4">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0726B4" w:rsidRPr="008B6CCF" w:rsidRDefault="000726B4" w:rsidP="000726B4">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0726B4" w:rsidRPr="008B6CCF" w:rsidRDefault="000726B4" w:rsidP="000726B4">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0726B4" w:rsidRPr="008B6CCF" w:rsidRDefault="000726B4" w:rsidP="000726B4">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Comments</w:t>
            </w:r>
          </w:p>
        </w:tc>
      </w:tr>
      <w:tr w:rsidR="00196044" w:rsidRPr="00196044" w:rsidTr="0072513F">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72513F" w:rsidRPr="00526B06" w:rsidRDefault="00685FF8" w:rsidP="0072513F">
            <w:pPr>
              <w:rPr>
                <w:b w:val="0"/>
              </w:rPr>
            </w:pPr>
            <w:hyperlink r:id="rId35" w:history="1">
              <w:r w:rsidR="000726B4" w:rsidRPr="00685FF8">
                <w:rPr>
                  <w:rStyle w:val="Hyperlink"/>
                  <w:b w:val="0"/>
                  <w:bCs w:val="0"/>
                </w:rPr>
                <w:t xml:space="preserve">Maintenance &amp; Operations Goal 2 – Special </w:t>
              </w:r>
              <w:r w:rsidRPr="00685FF8">
                <w:rPr>
                  <w:rStyle w:val="Hyperlink"/>
                  <w:b w:val="0"/>
                  <w:bCs w:val="0"/>
                </w:rPr>
                <w:t>Maintenance of WESTEC F</w:t>
              </w:r>
              <w:r w:rsidR="000726B4" w:rsidRPr="00685FF8">
                <w:rPr>
                  <w:rStyle w:val="Hyperlink"/>
                  <w:b w:val="0"/>
                  <w:bCs w:val="0"/>
                </w:rPr>
                <w:t>acility</w:t>
              </w:r>
              <w:r w:rsidRPr="00685FF8">
                <w:rPr>
                  <w:rStyle w:val="Hyperlink"/>
                  <w:b w:val="0"/>
                  <w:bCs w:val="0"/>
                </w:rPr>
                <w:t xml:space="preserve"> Phase 1</w:t>
              </w:r>
            </w:hyperlink>
          </w:p>
        </w:tc>
        <w:tc>
          <w:tcPr>
            <w:tcW w:w="6390" w:type="dxa"/>
            <w:shd w:val="clear" w:color="auto" w:fill="auto"/>
          </w:tcPr>
          <w:p w:rsidR="000726B4" w:rsidRPr="00196044" w:rsidRDefault="000726B4" w:rsidP="000726B4">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196044">
              <w:rPr>
                <w:b/>
                <w:i/>
              </w:rPr>
              <w:t xml:space="preserve">From Section IIB in the APR Goal Form </w:t>
            </w:r>
            <w:r w:rsidR="00D121B5">
              <w:rPr>
                <w:b/>
                <w:i/>
              </w:rPr>
              <w:t>18/19</w:t>
            </w:r>
            <w:r w:rsidRPr="00196044">
              <w:rPr>
                <w:b/>
                <w:i/>
              </w:rPr>
              <w:t>:</w:t>
            </w:r>
          </w:p>
          <w:p w:rsidR="0072513F" w:rsidRPr="00526B06" w:rsidRDefault="000726B4" w:rsidP="00685FF8">
            <w:pPr>
              <w:pStyle w:val="Default"/>
              <w:cnfStyle w:val="000000000000" w:firstRow="0" w:lastRow="0" w:firstColumn="0" w:lastColumn="0" w:oddVBand="0" w:evenVBand="0" w:oddHBand="0" w:evenHBand="0" w:firstRowFirstColumn="0" w:firstRowLastColumn="0" w:lastRowFirstColumn="0" w:lastRowLastColumn="0"/>
              <w:rPr>
                <w:color w:val="auto"/>
              </w:rPr>
            </w:pPr>
            <w:r>
              <w:rPr>
                <w:sz w:val="22"/>
                <w:szCs w:val="22"/>
              </w:rPr>
              <w:t xml:space="preserve">The Maintenance and Operations department is requesting funding for the purchase and installation of a new roof at the WESTEC facility located on </w:t>
            </w:r>
            <w:proofErr w:type="spellStart"/>
            <w:r>
              <w:rPr>
                <w:sz w:val="22"/>
                <w:szCs w:val="22"/>
              </w:rPr>
              <w:t>Lerdo</w:t>
            </w:r>
            <w:proofErr w:type="spellEnd"/>
            <w:r>
              <w:rPr>
                <w:sz w:val="22"/>
                <w:szCs w:val="22"/>
              </w:rPr>
              <w:t xml:space="preserve"> Highway. There are many new leaks discovered with each rain event. The condition of the roof is such that self-performance of preventative maintenance and ongoing repairs is no longer practicable. The measurable objective would be having no leaks after the first rain event after installation of the new roof. </w:t>
            </w:r>
          </w:p>
        </w:tc>
        <w:tc>
          <w:tcPr>
            <w:tcW w:w="8550" w:type="dxa"/>
            <w:shd w:val="clear" w:color="auto" w:fill="auto"/>
          </w:tcPr>
          <w:p w:rsidR="000726B4" w:rsidRDefault="000726B4" w:rsidP="000726B4">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From Section IIA in the APR for 19/20:</w:t>
            </w:r>
          </w:p>
          <w:p w:rsidR="000A74DB" w:rsidRDefault="000726B4" w:rsidP="0072513F">
            <w:pPr>
              <w:cnfStyle w:val="000000000000" w:firstRow="0" w:lastRow="0" w:firstColumn="0" w:lastColumn="0" w:oddVBand="0" w:evenVBand="0" w:oddHBand="0" w:evenHBand="0" w:firstRowFirstColumn="0" w:firstRowLastColumn="0" w:lastRowFirstColumn="0" w:lastRowLastColumn="0"/>
            </w:pPr>
            <w:r w:rsidRPr="000726B4">
              <w:t>Funding was received for the WESTEC re-roofing project and was sc</w:t>
            </w:r>
            <w:r w:rsidR="000A74DB">
              <w:t>hedule over 5 consecutive years.</w:t>
            </w:r>
          </w:p>
          <w:p w:rsidR="000A74DB" w:rsidRDefault="000A74DB" w:rsidP="0072513F">
            <w:pPr>
              <w:cnfStyle w:val="000000000000" w:firstRow="0" w:lastRow="0" w:firstColumn="0" w:lastColumn="0" w:oddVBand="0" w:evenVBand="0" w:oddHBand="0" w:evenHBand="0" w:firstRowFirstColumn="0" w:firstRowLastColumn="0" w:lastRowFirstColumn="0" w:lastRowLastColumn="0"/>
            </w:pPr>
          </w:p>
          <w:p w:rsidR="000A74DB" w:rsidRPr="00526B06" w:rsidRDefault="000A74DB" w:rsidP="0072513F">
            <w:pPr>
              <w:cnfStyle w:val="000000000000" w:firstRow="0" w:lastRow="0" w:firstColumn="0" w:lastColumn="0" w:oddVBand="0" w:evenVBand="0" w:oddHBand="0" w:evenHBand="0" w:firstRowFirstColumn="0" w:firstRowLastColumn="0" w:lastRowFirstColumn="0" w:lastRowLastColumn="0"/>
            </w:pPr>
            <w:hyperlink r:id="rId36" w:history="1">
              <w:r w:rsidRPr="000A74DB">
                <w:rPr>
                  <w:rStyle w:val="Hyperlink"/>
                </w:rPr>
                <w:t>FM&amp;O_1920</w:t>
              </w:r>
            </w:hyperlink>
          </w:p>
        </w:tc>
        <w:tc>
          <w:tcPr>
            <w:tcW w:w="2520" w:type="dxa"/>
            <w:shd w:val="clear" w:color="auto" w:fill="auto"/>
          </w:tcPr>
          <w:p w:rsidR="0072513F" w:rsidRPr="00322039" w:rsidRDefault="0072513F" w:rsidP="0072513F">
            <w:pPr>
              <w:cnfStyle w:val="000000000000" w:firstRow="0" w:lastRow="0" w:firstColumn="0" w:lastColumn="0" w:oddVBand="0" w:evenVBand="0" w:oddHBand="0" w:evenHBand="0" w:firstRowFirstColumn="0" w:firstRowLastColumn="0" w:lastRowFirstColumn="0" w:lastRowLastColumn="0"/>
              <w:rPr>
                <w:color w:val="C00000"/>
              </w:rPr>
            </w:pPr>
          </w:p>
        </w:tc>
      </w:tr>
      <w:tr w:rsidR="00685FF8" w:rsidRPr="00196044" w:rsidTr="00B05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685FF8" w:rsidRPr="008B6CCF" w:rsidRDefault="00685FF8" w:rsidP="00685FF8">
            <w:pPr>
              <w:rPr>
                <w:color w:val="FFFFFF" w:themeColor="background1"/>
              </w:rPr>
            </w:pPr>
            <w:r w:rsidRPr="008B6CCF">
              <w:rPr>
                <w:color w:val="FFFFFF" w:themeColor="background1"/>
              </w:rPr>
              <w:lastRenderedPageBreak/>
              <w:t>Funded Goal Title</w:t>
            </w:r>
          </w:p>
        </w:tc>
        <w:tc>
          <w:tcPr>
            <w:tcW w:w="6390" w:type="dxa"/>
            <w:shd w:val="clear" w:color="auto" w:fill="0D0D0D" w:themeFill="text1" w:themeFillTint="F2"/>
          </w:tcPr>
          <w:p w:rsidR="00685FF8" w:rsidRPr="008B6CCF" w:rsidRDefault="00685FF8" w:rsidP="00685FF8">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685FF8" w:rsidRPr="008B6CCF" w:rsidRDefault="00685FF8" w:rsidP="00685FF8">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685FF8" w:rsidRPr="008B6CCF" w:rsidRDefault="00685FF8" w:rsidP="00685FF8">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685FF8" w:rsidRPr="008B6CCF" w:rsidRDefault="00685FF8" w:rsidP="00685FF8">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Comments</w:t>
            </w:r>
          </w:p>
        </w:tc>
      </w:tr>
      <w:tr w:rsidR="000726B4" w:rsidRPr="00196044" w:rsidTr="0072513F">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0726B4" w:rsidRPr="00685FF8" w:rsidRDefault="00685FF8" w:rsidP="0072513F">
            <w:pPr>
              <w:rPr>
                <w:b w:val="0"/>
              </w:rPr>
            </w:pPr>
            <w:hyperlink r:id="rId37" w:history="1">
              <w:r w:rsidRPr="00685FF8">
                <w:rPr>
                  <w:rStyle w:val="Hyperlink"/>
                  <w:b w:val="0"/>
                  <w:bCs w:val="0"/>
                </w:rPr>
                <w:t>Maintenance &amp; Operations Goal 2 – Special Maintenance of WESTEC Facility Phase 2</w:t>
              </w:r>
            </w:hyperlink>
          </w:p>
        </w:tc>
        <w:tc>
          <w:tcPr>
            <w:tcW w:w="6390" w:type="dxa"/>
            <w:shd w:val="clear" w:color="auto" w:fill="auto"/>
          </w:tcPr>
          <w:p w:rsidR="00685FF8" w:rsidRPr="00196044" w:rsidRDefault="00685FF8" w:rsidP="00685FF8">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196044">
              <w:rPr>
                <w:b/>
                <w:i/>
              </w:rPr>
              <w:t xml:space="preserve">From Section IIB in the APR Goal Form </w:t>
            </w:r>
            <w:r w:rsidR="00D121B5">
              <w:rPr>
                <w:b/>
                <w:i/>
              </w:rPr>
              <w:t>18/19</w:t>
            </w:r>
            <w:r w:rsidRPr="00196044">
              <w:rPr>
                <w:b/>
                <w:i/>
              </w:rPr>
              <w:t>:</w:t>
            </w:r>
          </w:p>
          <w:p w:rsidR="000726B4" w:rsidRPr="00526B06" w:rsidRDefault="00685FF8" w:rsidP="00685FF8">
            <w:pPr>
              <w:cnfStyle w:val="000000000000" w:firstRow="0" w:lastRow="0" w:firstColumn="0" w:lastColumn="0" w:oddVBand="0" w:evenVBand="0" w:oddHBand="0" w:evenHBand="0" w:firstRowFirstColumn="0" w:firstRowLastColumn="0" w:lastRowFirstColumn="0" w:lastRowLastColumn="0"/>
            </w:pPr>
            <w:r>
              <w:t xml:space="preserve">The Maintenance and Operations department is requesting funding for the purchase and installation of a new roof at the WESTEC facility located on </w:t>
            </w:r>
            <w:proofErr w:type="spellStart"/>
            <w:r>
              <w:t>Lerdo</w:t>
            </w:r>
            <w:proofErr w:type="spellEnd"/>
            <w:r>
              <w:t xml:space="preserve"> Highway. There are many new leaks discovered with each rain event. The condition of the roof is such that self-performance of preventative maintenance and ongoing repairs is no longer practicable. The measurable objective would be having no leaks after the first rain event after installation of the new roof.</w:t>
            </w:r>
          </w:p>
        </w:tc>
        <w:tc>
          <w:tcPr>
            <w:tcW w:w="8550" w:type="dxa"/>
            <w:shd w:val="clear" w:color="auto" w:fill="auto"/>
          </w:tcPr>
          <w:p w:rsidR="00685FF8" w:rsidRDefault="00685FF8" w:rsidP="00685FF8">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From Section IIA in the APR for 19/20:</w:t>
            </w:r>
          </w:p>
          <w:p w:rsidR="00685FF8" w:rsidRDefault="00685FF8" w:rsidP="00685FF8">
            <w:pPr>
              <w:cnfStyle w:val="000000000000" w:firstRow="0" w:lastRow="0" w:firstColumn="0" w:lastColumn="0" w:oddVBand="0" w:evenVBand="0" w:oddHBand="0" w:evenHBand="0" w:firstRowFirstColumn="0" w:firstRowLastColumn="0" w:lastRowFirstColumn="0" w:lastRowLastColumn="0"/>
            </w:pPr>
            <w:r w:rsidRPr="000726B4">
              <w:t>Funding was received for the WESTEC re-roofing project and was sc</w:t>
            </w:r>
            <w:r>
              <w:t>hedule over 5 consecutive years.</w:t>
            </w:r>
          </w:p>
          <w:p w:rsidR="00685FF8" w:rsidRDefault="00685FF8" w:rsidP="00685FF8">
            <w:pPr>
              <w:cnfStyle w:val="000000000000" w:firstRow="0" w:lastRow="0" w:firstColumn="0" w:lastColumn="0" w:oddVBand="0" w:evenVBand="0" w:oddHBand="0" w:evenHBand="0" w:firstRowFirstColumn="0" w:firstRowLastColumn="0" w:lastRowFirstColumn="0" w:lastRowLastColumn="0"/>
            </w:pPr>
          </w:p>
          <w:p w:rsidR="000726B4" w:rsidRPr="00526B06" w:rsidRDefault="00685FF8" w:rsidP="00685FF8">
            <w:pPr>
              <w:cnfStyle w:val="000000000000" w:firstRow="0" w:lastRow="0" w:firstColumn="0" w:lastColumn="0" w:oddVBand="0" w:evenVBand="0" w:oddHBand="0" w:evenHBand="0" w:firstRowFirstColumn="0" w:firstRowLastColumn="0" w:lastRowFirstColumn="0" w:lastRowLastColumn="0"/>
            </w:pPr>
            <w:hyperlink r:id="rId38" w:history="1">
              <w:r w:rsidRPr="000A74DB">
                <w:rPr>
                  <w:rStyle w:val="Hyperlink"/>
                </w:rPr>
                <w:t>FM&amp;O_1920</w:t>
              </w:r>
            </w:hyperlink>
          </w:p>
        </w:tc>
        <w:tc>
          <w:tcPr>
            <w:tcW w:w="2520" w:type="dxa"/>
            <w:shd w:val="clear" w:color="auto" w:fill="auto"/>
          </w:tcPr>
          <w:p w:rsidR="000726B4" w:rsidRPr="00322039" w:rsidRDefault="000726B4" w:rsidP="0072513F">
            <w:pPr>
              <w:cnfStyle w:val="000000000000" w:firstRow="0" w:lastRow="0" w:firstColumn="0" w:lastColumn="0" w:oddVBand="0" w:evenVBand="0" w:oddHBand="0" w:evenHBand="0" w:firstRowFirstColumn="0" w:firstRowLastColumn="0" w:lastRowFirstColumn="0" w:lastRowLastColumn="0"/>
              <w:rPr>
                <w:color w:val="C00000"/>
              </w:rPr>
            </w:pPr>
          </w:p>
        </w:tc>
      </w:tr>
      <w:tr w:rsidR="00322039" w:rsidRPr="00196044" w:rsidTr="00806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322039" w:rsidRPr="008B6CCF" w:rsidRDefault="00322039" w:rsidP="00322039">
            <w:pPr>
              <w:rPr>
                <w:color w:val="FFFFFF" w:themeColor="background1"/>
              </w:rPr>
            </w:pPr>
            <w:r w:rsidRPr="008B6CCF">
              <w:rPr>
                <w:color w:val="FFFFFF" w:themeColor="background1"/>
              </w:rPr>
              <w:t>Funded Goal Title</w:t>
            </w:r>
          </w:p>
        </w:tc>
        <w:tc>
          <w:tcPr>
            <w:tcW w:w="6390" w:type="dxa"/>
            <w:shd w:val="clear" w:color="auto" w:fill="0D0D0D" w:themeFill="text1" w:themeFillTint="F2"/>
          </w:tcPr>
          <w:p w:rsidR="00322039" w:rsidRPr="008B6CCF" w:rsidRDefault="00322039" w:rsidP="00322039">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322039" w:rsidRPr="008B6CCF" w:rsidRDefault="00322039" w:rsidP="00322039">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322039" w:rsidRPr="008B6CCF" w:rsidRDefault="00322039" w:rsidP="00322039">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322039" w:rsidRPr="008B6CCF" w:rsidRDefault="00322039" w:rsidP="00322039">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Comments</w:t>
            </w:r>
          </w:p>
        </w:tc>
      </w:tr>
      <w:tr w:rsidR="00322039" w:rsidRPr="00196044" w:rsidTr="0072513F">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322039" w:rsidRPr="00685FF8" w:rsidRDefault="00322039" w:rsidP="00322039">
            <w:pPr>
              <w:rPr>
                <w:b w:val="0"/>
              </w:rPr>
            </w:pPr>
            <w:hyperlink r:id="rId39" w:history="1">
              <w:r w:rsidRPr="00322039">
                <w:rPr>
                  <w:rStyle w:val="Hyperlink"/>
                  <w:b w:val="0"/>
                  <w:bCs w:val="0"/>
                </w:rPr>
                <w:t>Maintenance &amp; Operations Goal 3 – Uniform and Professional Appearance of M &amp; O Staff</w:t>
              </w:r>
            </w:hyperlink>
          </w:p>
        </w:tc>
        <w:tc>
          <w:tcPr>
            <w:tcW w:w="6390" w:type="dxa"/>
            <w:shd w:val="clear" w:color="auto" w:fill="auto"/>
          </w:tcPr>
          <w:p w:rsidR="00322039" w:rsidRPr="00196044" w:rsidRDefault="00322039" w:rsidP="00322039">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196044">
              <w:rPr>
                <w:b/>
                <w:i/>
              </w:rPr>
              <w:t xml:space="preserve">From Section IIB in the APR Goal Form </w:t>
            </w:r>
            <w:r w:rsidR="00D121B5">
              <w:rPr>
                <w:b/>
                <w:i/>
              </w:rPr>
              <w:t>18/19</w:t>
            </w:r>
            <w:r w:rsidRPr="00196044">
              <w:rPr>
                <w:b/>
                <w:i/>
              </w:rPr>
              <w:t>:</w:t>
            </w:r>
          </w:p>
          <w:p w:rsidR="00322039" w:rsidRPr="00526B06" w:rsidRDefault="00322039" w:rsidP="00322039">
            <w:pPr>
              <w:cnfStyle w:val="000000000000" w:firstRow="0" w:lastRow="0" w:firstColumn="0" w:lastColumn="0" w:oddVBand="0" w:evenVBand="0" w:oddHBand="0" w:evenHBand="0" w:firstRowFirstColumn="0" w:firstRowLastColumn="0" w:lastRowFirstColumn="0" w:lastRowLastColumn="0"/>
            </w:pPr>
            <w:r w:rsidRPr="00685FF8">
              <w:t>The Maintenance and Operations department is requesting funding for the purchase of uniforms for Maintenance and Operations personnel.  Maintenance &amp; Operations personnel currently wear a variety of work wear that is inconsistent from day to day and makes them indistinguishable from students and other members of the general public.  The provision of uniforms for Maintenance and Operations personnel would achieve the following:  uniform and professional appearance; ease of identification and corresponding safety improvements; improvement of TC’s image; and improvement of relationships and interactions with students and other members of the public.</w:t>
            </w:r>
          </w:p>
        </w:tc>
        <w:tc>
          <w:tcPr>
            <w:tcW w:w="8550" w:type="dxa"/>
            <w:shd w:val="clear" w:color="auto" w:fill="auto"/>
          </w:tcPr>
          <w:p w:rsidR="00322039" w:rsidRDefault="00322039" w:rsidP="00322039">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From Section IIA in the APR for 19/20:</w:t>
            </w:r>
          </w:p>
          <w:p w:rsidR="00322039" w:rsidRDefault="00322039" w:rsidP="00322039">
            <w:pPr>
              <w:cnfStyle w:val="000000000000" w:firstRow="0" w:lastRow="0" w:firstColumn="0" w:lastColumn="0" w:oddVBand="0" w:evenVBand="0" w:oddHBand="0" w:evenHBand="0" w:firstRowFirstColumn="0" w:firstRowLastColumn="0" w:lastRowFirstColumn="0" w:lastRowLastColumn="0"/>
              <w:rPr>
                <w:b/>
                <w:i/>
              </w:rPr>
            </w:pPr>
            <w:r>
              <w:rPr>
                <w:b/>
                <w:i/>
              </w:rPr>
              <w:t>No relatable data reported on for Uniform and Professional Appearance of M &amp; O Staff</w:t>
            </w:r>
          </w:p>
          <w:p w:rsidR="00322039" w:rsidRDefault="00322039" w:rsidP="00322039">
            <w:pPr>
              <w:cnfStyle w:val="000000000000" w:firstRow="0" w:lastRow="0" w:firstColumn="0" w:lastColumn="0" w:oddVBand="0" w:evenVBand="0" w:oddHBand="0" w:evenHBand="0" w:firstRowFirstColumn="0" w:firstRowLastColumn="0" w:lastRowFirstColumn="0" w:lastRowLastColumn="0"/>
            </w:pPr>
          </w:p>
          <w:p w:rsidR="00322039" w:rsidRPr="00526B06" w:rsidRDefault="00322039" w:rsidP="00322039">
            <w:pPr>
              <w:cnfStyle w:val="000000000000" w:firstRow="0" w:lastRow="0" w:firstColumn="0" w:lastColumn="0" w:oddVBand="0" w:evenVBand="0" w:oddHBand="0" w:evenHBand="0" w:firstRowFirstColumn="0" w:firstRowLastColumn="0" w:lastRowFirstColumn="0" w:lastRowLastColumn="0"/>
            </w:pPr>
            <w:hyperlink r:id="rId40" w:history="1">
              <w:r w:rsidRPr="000A74DB">
                <w:rPr>
                  <w:rStyle w:val="Hyperlink"/>
                </w:rPr>
                <w:t>FM&amp;O_1920</w:t>
              </w:r>
            </w:hyperlink>
          </w:p>
        </w:tc>
        <w:tc>
          <w:tcPr>
            <w:tcW w:w="2520" w:type="dxa"/>
            <w:shd w:val="clear" w:color="auto" w:fill="auto"/>
          </w:tcPr>
          <w:p w:rsidR="00322039" w:rsidRPr="00322039" w:rsidRDefault="00322039" w:rsidP="00322039">
            <w:pPr>
              <w:cnfStyle w:val="000000000000" w:firstRow="0" w:lastRow="0" w:firstColumn="0" w:lastColumn="0" w:oddVBand="0" w:evenVBand="0" w:oddHBand="0" w:evenHBand="0" w:firstRowFirstColumn="0" w:firstRowLastColumn="0" w:lastRowFirstColumn="0" w:lastRowLastColumn="0"/>
              <w:rPr>
                <w:color w:val="C00000"/>
              </w:rPr>
            </w:pPr>
          </w:p>
        </w:tc>
      </w:tr>
      <w:tr w:rsidR="00322039" w:rsidRPr="00196044" w:rsidTr="002A3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322039" w:rsidRPr="008B6CCF" w:rsidRDefault="00322039" w:rsidP="00322039">
            <w:pPr>
              <w:rPr>
                <w:color w:val="FFFFFF" w:themeColor="background1"/>
              </w:rPr>
            </w:pPr>
            <w:r w:rsidRPr="008B6CCF">
              <w:rPr>
                <w:color w:val="FFFFFF" w:themeColor="background1"/>
              </w:rPr>
              <w:t>Funded Goal Title</w:t>
            </w:r>
          </w:p>
        </w:tc>
        <w:tc>
          <w:tcPr>
            <w:tcW w:w="6390" w:type="dxa"/>
            <w:shd w:val="clear" w:color="auto" w:fill="0D0D0D" w:themeFill="text1" w:themeFillTint="F2"/>
          </w:tcPr>
          <w:p w:rsidR="00322039" w:rsidRPr="008B6CCF" w:rsidRDefault="00322039" w:rsidP="00322039">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322039" w:rsidRPr="008B6CCF" w:rsidRDefault="00322039" w:rsidP="00322039">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322039" w:rsidRPr="008B6CCF" w:rsidRDefault="00322039" w:rsidP="00322039">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322039" w:rsidRPr="008B6CCF" w:rsidRDefault="00322039" w:rsidP="00322039">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Comments</w:t>
            </w:r>
          </w:p>
        </w:tc>
      </w:tr>
      <w:tr w:rsidR="000726B4" w:rsidRPr="00196044" w:rsidTr="0072513F">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0726B4" w:rsidRPr="00322039" w:rsidRDefault="00322039" w:rsidP="0072513F">
            <w:pPr>
              <w:rPr>
                <w:b w:val="0"/>
              </w:rPr>
            </w:pPr>
            <w:hyperlink r:id="rId41" w:history="1">
              <w:r w:rsidRPr="00322039">
                <w:rPr>
                  <w:rStyle w:val="Hyperlink"/>
                  <w:b w:val="0"/>
                  <w:bCs w:val="0"/>
                </w:rPr>
                <w:t>Office of Student Services Goal 2 – AED Units</w:t>
              </w:r>
            </w:hyperlink>
          </w:p>
        </w:tc>
        <w:tc>
          <w:tcPr>
            <w:tcW w:w="6390" w:type="dxa"/>
            <w:shd w:val="clear" w:color="auto" w:fill="auto"/>
          </w:tcPr>
          <w:p w:rsidR="00322039" w:rsidRPr="00196044" w:rsidRDefault="00322039" w:rsidP="00322039">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196044">
              <w:rPr>
                <w:b/>
                <w:i/>
              </w:rPr>
              <w:t xml:space="preserve">From Section IIB in the APR Goal Form </w:t>
            </w:r>
            <w:r w:rsidR="00D121B5">
              <w:rPr>
                <w:b/>
                <w:i/>
              </w:rPr>
              <w:t>18/19</w:t>
            </w:r>
            <w:r w:rsidRPr="00196044">
              <w:rPr>
                <w:b/>
                <w:i/>
              </w:rPr>
              <w:t>:</w:t>
            </w:r>
          </w:p>
          <w:p w:rsidR="00322039" w:rsidRDefault="00322039" w:rsidP="00322039">
            <w:pPr>
              <w:pStyle w:val="Default"/>
              <w:cnfStyle w:val="000000000000" w:firstRow="0" w:lastRow="0" w:firstColumn="0" w:lastColumn="0" w:oddVBand="0" w:evenVBand="0" w:oddHBand="0" w:evenHBand="0" w:firstRowFirstColumn="0" w:firstRowLastColumn="0" w:lastRowFirstColumn="0" w:lastRowLastColumn="0"/>
            </w:pPr>
            <w:r>
              <w:rPr>
                <w:sz w:val="22"/>
                <w:szCs w:val="22"/>
              </w:rPr>
              <w:t xml:space="preserve">The deployment of AED units in different buildings of Taft College will provide the necessary tools to prevent physical and physiological damage or death to any student, staff, or faculty in an event of a heart attack. </w:t>
            </w:r>
          </w:p>
          <w:p w:rsidR="000726B4" w:rsidRPr="00526B06" w:rsidRDefault="000726B4" w:rsidP="0072513F">
            <w:pPr>
              <w:cnfStyle w:val="000000000000" w:firstRow="0" w:lastRow="0" w:firstColumn="0" w:lastColumn="0" w:oddVBand="0" w:evenVBand="0" w:oddHBand="0" w:evenHBand="0" w:firstRowFirstColumn="0" w:firstRowLastColumn="0" w:lastRowFirstColumn="0" w:lastRowLastColumn="0"/>
            </w:pPr>
          </w:p>
        </w:tc>
        <w:tc>
          <w:tcPr>
            <w:tcW w:w="8550" w:type="dxa"/>
            <w:shd w:val="clear" w:color="auto" w:fill="auto"/>
          </w:tcPr>
          <w:p w:rsidR="00322039" w:rsidRDefault="00322039" w:rsidP="00322039">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From Section IIA in the APR for 19/20:</w:t>
            </w:r>
          </w:p>
          <w:p w:rsidR="00322039" w:rsidRDefault="00322039" w:rsidP="00322039">
            <w:pPr>
              <w:cnfStyle w:val="000000000000" w:firstRow="0" w:lastRow="0" w:firstColumn="0" w:lastColumn="0" w:oddVBand="0" w:evenVBand="0" w:oddHBand="0" w:evenHBand="0" w:firstRowFirstColumn="0" w:firstRowLastColumn="0" w:lastRowFirstColumn="0" w:lastRowLastColumn="0"/>
              <w:rPr>
                <w:b/>
                <w:i/>
              </w:rPr>
            </w:pPr>
            <w:r>
              <w:rPr>
                <w:b/>
                <w:i/>
              </w:rPr>
              <w:t>No relatable data reported</w:t>
            </w:r>
            <w:r>
              <w:rPr>
                <w:b/>
                <w:i/>
              </w:rPr>
              <w:t xml:space="preserve"> on for AED Units</w:t>
            </w:r>
          </w:p>
          <w:p w:rsidR="00322039" w:rsidRDefault="00322039" w:rsidP="00322039">
            <w:pPr>
              <w:cnfStyle w:val="000000000000" w:firstRow="0" w:lastRow="0" w:firstColumn="0" w:lastColumn="0" w:oddVBand="0" w:evenVBand="0" w:oddHBand="0" w:evenHBand="0" w:firstRowFirstColumn="0" w:firstRowLastColumn="0" w:lastRowFirstColumn="0" w:lastRowLastColumn="0"/>
              <w:rPr>
                <w:b/>
                <w:i/>
              </w:rPr>
            </w:pPr>
          </w:p>
          <w:p w:rsidR="00322039" w:rsidRPr="00322039" w:rsidRDefault="00322039" w:rsidP="00322039">
            <w:pPr>
              <w:cnfStyle w:val="000000000000" w:firstRow="0" w:lastRow="0" w:firstColumn="0" w:lastColumn="0" w:oddVBand="0" w:evenVBand="0" w:oddHBand="0" w:evenHBand="0" w:firstRowFirstColumn="0" w:firstRowLastColumn="0" w:lastRowFirstColumn="0" w:lastRowLastColumn="0"/>
            </w:pPr>
            <w:hyperlink r:id="rId42" w:history="1">
              <w:r w:rsidRPr="00322039">
                <w:rPr>
                  <w:rStyle w:val="Hyperlink"/>
                </w:rPr>
                <w:t>Office of Student Services_1920</w:t>
              </w:r>
            </w:hyperlink>
          </w:p>
          <w:p w:rsidR="000726B4" w:rsidRPr="00526B06" w:rsidRDefault="000726B4" w:rsidP="0072513F">
            <w:pPr>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auto"/>
          </w:tcPr>
          <w:p w:rsidR="000726B4" w:rsidRPr="00672C46" w:rsidRDefault="000726B4" w:rsidP="0072513F">
            <w:pPr>
              <w:cnfStyle w:val="000000000000" w:firstRow="0" w:lastRow="0" w:firstColumn="0" w:lastColumn="0" w:oddVBand="0" w:evenVBand="0" w:oddHBand="0" w:evenHBand="0" w:firstRowFirstColumn="0" w:firstRowLastColumn="0" w:lastRowFirstColumn="0" w:lastRowLastColumn="0"/>
              <w:rPr>
                <w:color w:val="C00000"/>
              </w:rPr>
            </w:pPr>
          </w:p>
        </w:tc>
      </w:tr>
      <w:tr w:rsidR="00672C46" w:rsidRPr="00196044" w:rsidTr="00BA33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0D0D0D" w:themeFill="text1" w:themeFillTint="F2"/>
          </w:tcPr>
          <w:p w:rsidR="00672C46" w:rsidRPr="008B6CCF" w:rsidRDefault="00672C46" w:rsidP="00672C46">
            <w:pPr>
              <w:rPr>
                <w:color w:val="FFFFFF" w:themeColor="background1"/>
              </w:rPr>
            </w:pPr>
            <w:r w:rsidRPr="008B6CCF">
              <w:rPr>
                <w:color w:val="FFFFFF" w:themeColor="background1"/>
              </w:rPr>
              <w:lastRenderedPageBreak/>
              <w:t>Funded Goal Title</w:t>
            </w:r>
          </w:p>
        </w:tc>
        <w:tc>
          <w:tcPr>
            <w:tcW w:w="6390" w:type="dxa"/>
            <w:shd w:val="clear" w:color="auto" w:fill="0D0D0D" w:themeFill="text1" w:themeFillTint="F2"/>
          </w:tcPr>
          <w:p w:rsidR="00672C46" w:rsidRPr="008B6CCF" w:rsidRDefault="00672C46" w:rsidP="00672C46">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Data/Metric that Informed Goal in Previous Cycle or Outcome from Goal Form (2017-18 data)</w:t>
            </w:r>
          </w:p>
        </w:tc>
        <w:tc>
          <w:tcPr>
            <w:tcW w:w="8550" w:type="dxa"/>
            <w:shd w:val="clear" w:color="auto" w:fill="0D0D0D" w:themeFill="text1" w:themeFillTint="F2"/>
          </w:tcPr>
          <w:p w:rsidR="00672C46" w:rsidRPr="008B6CCF" w:rsidRDefault="00672C46" w:rsidP="00672C46">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 xml:space="preserve">Same Metric, Current 19/20 Cycle </w:t>
            </w:r>
          </w:p>
          <w:p w:rsidR="00672C46" w:rsidRPr="008B6CCF" w:rsidRDefault="00672C46" w:rsidP="00672C46">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(2018-19 data)</w:t>
            </w:r>
          </w:p>
        </w:tc>
        <w:tc>
          <w:tcPr>
            <w:tcW w:w="2520" w:type="dxa"/>
            <w:shd w:val="clear" w:color="auto" w:fill="0D0D0D" w:themeFill="text1" w:themeFillTint="F2"/>
          </w:tcPr>
          <w:p w:rsidR="00672C46" w:rsidRPr="008B6CCF" w:rsidRDefault="00672C46" w:rsidP="00672C46">
            <w:pPr>
              <w:cnfStyle w:val="000000100000" w:firstRow="0" w:lastRow="0" w:firstColumn="0" w:lastColumn="0" w:oddVBand="0" w:evenVBand="0" w:oddHBand="1" w:evenHBand="0" w:firstRowFirstColumn="0" w:firstRowLastColumn="0" w:lastRowFirstColumn="0" w:lastRowLastColumn="0"/>
              <w:rPr>
                <w:b/>
                <w:color w:val="FFFFFF" w:themeColor="background1"/>
              </w:rPr>
            </w:pPr>
            <w:r w:rsidRPr="008B6CCF">
              <w:rPr>
                <w:b/>
                <w:color w:val="FFFFFF" w:themeColor="background1"/>
              </w:rPr>
              <w:t>Comments</w:t>
            </w:r>
          </w:p>
        </w:tc>
      </w:tr>
      <w:tr w:rsidR="00322039" w:rsidRPr="00196044" w:rsidTr="0072513F">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rsidR="00322039" w:rsidRPr="00672C46" w:rsidRDefault="00672C46" w:rsidP="0072513F">
            <w:pPr>
              <w:rPr>
                <w:b w:val="0"/>
              </w:rPr>
            </w:pPr>
            <w:hyperlink r:id="rId43" w:history="1">
              <w:r w:rsidRPr="00672C46">
                <w:rPr>
                  <w:rStyle w:val="Hyperlink"/>
                  <w:b w:val="0"/>
                  <w:bCs w:val="0"/>
                </w:rPr>
                <w:t>ECEF Goal 2 – Audiovisual Equipment for Observation Room</w:t>
              </w:r>
            </w:hyperlink>
          </w:p>
        </w:tc>
        <w:tc>
          <w:tcPr>
            <w:tcW w:w="6390" w:type="dxa"/>
            <w:shd w:val="clear" w:color="auto" w:fill="auto"/>
          </w:tcPr>
          <w:p w:rsidR="00672C46" w:rsidRPr="00196044" w:rsidRDefault="00672C46" w:rsidP="00672C46">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196044">
              <w:rPr>
                <w:b/>
                <w:i/>
              </w:rPr>
              <w:t xml:space="preserve">From Section IIB in the APR Goal Form </w:t>
            </w:r>
            <w:r w:rsidR="00D121B5">
              <w:rPr>
                <w:b/>
                <w:i/>
              </w:rPr>
              <w:t>18/19</w:t>
            </w:r>
            <w:r w:rsidRPr="00196044">
              <w:rPr>
                <w:b/>
                <w:i/>
              </w:rPr>
              <w:t>:</w:t>
            </w:r>
          </w:p>
          <w:p w:rsidR="00672C46" w:rsidRDefault="00672C46" w:rsidP="00672C46">
            <w:pPr>
              <w:cnfStyle w:val="000000000000" w:firstRow="0" w:lastRow="0" w:firstColumn="0" w:lastColumn="0" w:oddVBand="0" w:evenVBand="0" w:oddHBand="0" w:evenHBand="0" w:firstRowFirstColumn="0" w:firstRowLastColumn="0" w:lastRowFirstColumn="0" w:lastRowLastColumn="0"/>
            </w:pPr>
            <w:r>
              <w:t>- increase in student success/achievement</w:t>
            </w:r>
          </w:p>
          <w:p w:rsidR="00672C46" w:rsidRDefault="00672C46" w:rsidP="00672C46">
            <w:pPr>
              <w:cnfStyle w:val="000000000000" w:firstRow="0" w:lastRow="0" w:firstColumn="0" w:lastColumn="0" w:oddVBand="0" w:evenVBand="0" w:oddHBand="0" w:evenHBand="0" w:firstRowFirstColumn="0" w:firstRowLastColumn="0" w:lastRowFirstColumn="0" w:lastRowLastColumn="0"/>
            </w:pPr>
            <w:r>
              <w:t xml:space="preserve">- increase in job placement </w:t>
            </w:r>
          </w:p>
          <w:p w:rsidR="00672C46" w:rsidRDefault="00672C46" w:rsidP="00672C46">
            <w:pPr>
              <w:cnfStyle w:val="000000000000" w:firstRow="0" w:lastRow="0" w:firstColumn="0" w:lastColumn="0" w:oddVBand="0" w:evenVBand="0" w:oddHBand="0" w:evenHBand="0" w:firstRowFirstColumn="0" w:firstRowLastColumn="0" w:lastRowFirstColumn="0" w:lastRowLastColumn="0"/>
            </w:pPr>
            <w:r>
              <w:t>- students will make connections between what is learned in lecture/class and child observations at the TCCDC</w:t>
            </w:r>
          </w:p>
          <w:p w:rsidR="00322039" w:rsidRPr="00526B06" w:rsidRDefault="00672C46" w:rsidP="00672C46">
            <w:pPr>
              <w:cnfStyle w:val="000000000000" w:firstRow="0" w:lastRow="0" w:firstColumn="0" w:lastColumn="0" w:oddVBand="0" w:evenVBand="0" w:oddHBand="0" w:evenHBand="0" w:firstRowFirstColumn="0" w:firstRowLastColumn="0" w:lastRowFirstColumn="0" w:lastRowLastColumn="0"/>
            </w:pPr>
            <w:r>
              <w:t>and improve sc</w:t>
            </w:r>
            <w:r>
              <w:t>ores on observation assignments</w:t>
            </w:r>
          </w:p>
        </w:tc>
        <w:tc>
          <w:tcPr>
            <w:tcW w:w="8550" w:type="dxa"/>
            <w:shd w:val="clear" w:color="auto" w:fill="auto"/>
          </w:tcPr>
          <w:p w:rsidR="00672C46" w:rsidRDefault="00672C46" w:rsidP="00672C46">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From Section IIA in the APR for 19/20:</w:t>
            </w:r>
          </w:p>
          <w:p w:rsidR="00E536A2" w:rsidRPr="00BF31FD"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BF31FD">
              <w:rPr>
                <w:rFonts w:ascii="Times New Roman" w:hAnsi="Times New Roman" w:cs="Times New Roman"/>
                <w:b/>
                <w:bCs/>
                <w:color w:val="000000"/>
              </w:rPr>
              <w:t>Success Rates:</w:t>
            </w:r>
          </w:p>
          <w:p w:rsidR="00E536A2"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5103B">
              <w:rPr>
                <w:rFonts w:ascii="Times New Roman" w:hAnsi="Times New Roman" w:cs="Times New Roman"/>
                <w:color w:val="000000"/>
              </w:rPr>
              <w:t>Success rates vary.  Overall, there is steady improvement in most ECEFS courses and the Psych 2003 courses.  On-campus courses continue to have higher success rates than online, while online enrollment is higher.</w:t>
            </w:r>
            <w:r w:rsidRPr="00566731">
              <w:rPr>
                <w:rFonts w:ascii="Times New Roman" w:hAnsi="Times New Roman" w:cs="Times New Roman"/>
                <w:color w:val="000000"/>
              </w:rPr>
              <w:t xml:space="preserve"> </w:t>
            </w:r>
            <w:r>
              <w:rPr>
                <w:rFonts w:ascii="Times New Roman" w:hAnsi="Times New Roman" w:cs="Times New Roman"/>
                <w:color w:val="000000"/>
              </w:rPr>
              <w:t>All courses, in 2018-2019 were about the 70% success rate.</w:t>
            </w:r>
            <w:r w:rsidRPr="00566731">
              <w:rPr>
                <w:rFonts w:ascii="Times New Roman" w:hAnsi="Times New Roman" w:cs="Times New Roman"/>
                <w:color w:val="000000"/>
              </w:rPr>
              <w:t xml:space="preserve"> </w:t>
            </w:r>
            <w:r>
              <w:rPr>
                <w:rFonts w:ascii="Times New Roman" w:hAnsi="Times New Roman" w:cs="Times New Roman"/>
                <w:color w:val="000000"/>
              </w:rPr>
              <w:t>Psych 2003 success rates have improved and have an 80% success rate for 2017-2018 and 2018-2019 which might be attributed to the inclusion of an SI (Supplemental Instruction).</w:t>
            </w:r>
          </w:p>
          <w:p w:rsidR="00E536A2" w:rsidRPr="00BF31FD"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BF31FD">
              <w:rPr>
                <w:rFonts w:ascii="Times New Roman" w:hAnsi="Times New Roman" w:cs="Times New Roman"/>
                <w:b/>
                <w:bCs/>
                <w:color w:val="000000"/>
              </w:rPr>
              <w:t>Degrees and Certificates Awarded:</w:t>
            </w:r>
          </w:p>
          <w:p w:rsidR="00E536A2" w:rsidRPr="00BF31FD"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F31FD">
              <w:rPr>
                <w:rFonts w:ascii="Times New Roman" w:hAnsi="Times New Roman" w:cs="Times New Roman"/>
                <w:color w:val="000000"/>
              </w:rPr>
              <w:t xml:space="preserve"> - Early Interventionist Certificates I and II have greatly declined and require more </w:t>
            </w:r>
            <w:r>
              <w:rPr>
                <w:rFonts w:ascii="Times New Roman" w:hAnsi="Times New Roman" w:cs="Times New Roman"/>
                <w:color w:val="000000"/>
              </w:rPr>
              <w:t>advertisement.  Discussion with local industry experts are warranted.</w:t>
            </w:r>
          </w:p>
          <w:p w:rsidR="00E536A2" w:rsidRPr="00BF31FD"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F31FD">
              <w:rPr>
                <w:rFonts w:ascii="Times New Roman" w:hAnsi="Times New Roman" w:cs="Times New Roman"/>
                <w:color w:val="000000"/>
              </w:rPr>
              <w:t xml:space="preserve">Certificates will need to be more widely advertised and shared at ECEFS orientations.  </w:t>
            </w:r>
          </w:p>
          <w:p w:rsidR="00E536A2"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BF31FD">
              <w:rPr>
                <w:rFonts w:ascii="Times New Roman" w:hAnsi="Times New Roman" w:cs="Times New Roman"/>
                <w:color w:val="000000"/>
              </w:rPr>
              <w:t>- The ECEFS Degree</w:t>
            </w:r>
            <w:r>
              <w:rPr>
                <w:rFonts w:ascii="Times New Roman" w:hAnsi="Times New Roman" w:cs="Times New Roman"/>
                <w:color w:val="000000"/>
              </w:rPr>
              <w:t xml:space="preserve">s awarded were steadily increasing but declined in 18-19. </w:t>
            </w:r>
            <w:r w:rsidRPr="00BF31FD">
              <w:rPr>
                <w:rFonts w:ascii="Times New Roman" w:hAnsi="Times New Roman" w:cs="Times New Roman"/>
                <w:color w:val="000000"/>
              </w:rPr>
              <w:t xml:space="preserve"> </w:t>
            </w:r>
            <w:r>
              <w:rPr>
                <w:rFonts w:ascii="Times New Roman" w:hAnsi="Times New Roman" w:cs="Times New Roman"/>
                <w:color w:val="000000"/>
              </w:rPr>
              <w:t xml:space="preserve">Awarding of Associate and Assistant Teacher Certificates </w:t>
            </w:r>
            <w:r w:rsidRPr="00BF31FD">
              <w:rPr>
                <w:rFonts w:ascii="Times New Roman" w:hAnsi="Times New Roman" w:cs="Times New Roman"/>
                <w:color w:val="000000"/>
              </w:rPr>
              <w:t>have increased.</w:t>
            </w:r>
          </w:p>
          <w:p w:rsidR="00E536A2" w:rsidRDefault="00E536A2" w:rsidP="00E536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SLO/PSLO/ISLO Data:</w:t>
            </w:r>
          </w:p>
          <w:p w:rsidR="00E536A2"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334319">
              <w:rPr>
                <w:rFonts w:ascii="Times New Roman" w:hAnsi="Times New Roman" w:cs="Times New Roman"/>
                <w:color w:val="000000"/>
              </w:rPr>
              <w:t>In looking at SLO data, it seems that writing and reading ability seems to be improving which we know through research, directly correlates with student success.  It is of course, one of many factors.  Understanding course materials and communicating understanding through written, oral and visual presentation is key.</w:t>
            </w:r>
            <w:r w:rsidRPr="00566731">
              <w:rPr>
                <w:rFonts w:ascii="Times New Roman" w:hAnsi="Times New Roman" w:cs="Times New Roman"/>
                <w:color w:val="000000"/>
              </w:rPr>
              <w:t xml:space="preserve"> </w:t>
            </w:r>
          </w:p>
          <w:p w:rsidR="00E536A2" w:rsidRDefault="00E536A2" w:rsidP="00E536A2">
            <w:pPr>
              <w:shd w:val="clear" w:color="auto" w:fill="FFFFFF" w:themeFill="background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E536A2" w:rsidRPr="003266C7" w:rsidRDefault="00E536A2" w:rsidP="00E536A2">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From Section IIB in the APR for 19/20:</w:t>
            </w:r>
          </w:p>
          <w:p w:rsidR="00E536A2"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E536A2"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66731">
              <w:rPr>
                <w:rFonts w:ascii="Times New Roman" w:hAnsi="Times New Roman" w:cs="Times New Roman"/>
                <w:color w:val="000000"/>
              </w:rPr>
              <w:t>Faculty and SI's are available at the Taft Child Development Center during observation and assessment assignment periods to support student's successful completion of observation assignments and understanding of what is observed.  All faculty (full and part-time) are invited to attend the orientation at the Child Development Center at the beginning of the semester.</w:t>
            </w:r>
          </w:p>
          <w:p w:rsidR="00E536A2" w:rsidRPr="00566731"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D342F6">
              <w:rPr>
                <w:rFonts w:ascii="Times New Roman" w:hAnsi="Times New Roman" w:cs="Times New Roman"/>
                <w:color w:val="000000"/>
              </w:rPr>
              <w:t>This will continue, providing audio-visual equipment is working.</w:t>
            </w:r>
          </w:p>
          <w:p w:rsidR="00E536A2" w:rsidRPr="00566731"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E536A2"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66731">
              <w:rPr>
                <w:rFonts w:ascii="Times New Roman" w:hAnsi="Times New Roman" w:cs="Times New Roman"/>
                <w:color w:val="000000"/>
              </w:rPr>
              <w:t>This has had some impact on observation and assessment completion but is on-going.</w:t>
            </w:r>
          </w:p>
          <w:p w:rsidR="00E536A2"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E536A2" w:rsidRPr="003266C7" w:rsidRDefault="00E536A2" w:rsidP="00E536A2">
            <w:pPr>
              <w:shd w:val="clear" w:color="auto" w:fill="FFFFFF" w:themeFill="background1"/>
              <w:cnfStyle w:val="000000000000" w:firstRow="0" w:lastRow="0" w:firstColumn="0" w:lastColumn="0" w:oddVBand="0" w:evenVBand="0" w:oddHBand="0" w:evenHBand="0" w:firstRowFirstColumn="0" w:firstRowLastColumn="0" w:lastRowFirstColumn="0" w:lastRowLastColumn="0"/>
              <w:rPr>
                <w:b/>
                <w:i/>
              </w:rPr>
            </w:pPr>
            <w:r w:rsidRPr="003266C7">
              <w:rPr>
                <w:b/>
                <w:i/>
              </w:rPr>
              <w:t>From Section IIC in the APR for 19/20:</w:t>
            </w:r>
          </w:p>
          <w:p w:rsidR="00E536A2"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5.   </w:t>
            </w:r>
            <w:r w:rsidRPr="002F36D1">
              <w:rPr>
                <w:rFonts w:ascii="Times New Roman" w:hAnsi="Times New Roman" w:cs="Times New Roman"/>
                <w:color w:val="000000"/>
              </w:rPr>
              <w:t xml:space="preserve">Order and install audio visual equipment in observation rooms at the </w:t>
            </w:r>
            <w:r>
              <w:rPr>
                <w:rFonts w:ascii="Times New Roman" w:hAnsi="Times New Roman" w:cs="Times New Roman"/>
                <w:color w:val="000000"/>
              </w:rPr>
              <w:t>Child Development</w:t>
            </w:r>
          </w:p>
          <w:p w:rsidR="00E536A2"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lastRenderedPageBreak/>
              <w:t xml:space="preserve">Center.   (SAP – increase in job placement and student/course success, Guided Pathways) </w:t>
            </w:r>
          </w:p>
          <w:p w:rsidR="00E536A2"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This goal is crucial to the success of students in practicum and observation courses as well as</w:t>
            </w:r>
          </w:p>
          <w:p w:rsidR="00E536A2"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ECE courses that require observation requirements. </w:t>
            </w:r>
          </w:p>
          <w:p w:rsidR="00E536A2"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EA374E" w:rsidRDefault="00EA374E"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hyperlink r:id="rId44" w:history="1">
              <w:r w:rsidRPr="00EA374E">
                <w:rPr>
                  <w:rStyle w:val="Hyperlink"/>
                  <w:rFonts w:ascii="Times New Roman" w:hAnsi="Times New Roman" w:cs="Times New Roman"/>
                </w:rPr>
                <w:t>ECE_1920</w:t>
              </w:r>
            </w:hyperlink>
          </w:p>
          <w:p w:rsidR="00E536A2"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E536A2" w:rsidRPr="00566731" w:rsidRDefault="00E536A2" w:rsidP="00E536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E536A2" w:rsidRPr="00526B06" w:rsidRDefault="00E536A2" w:rsidP="0072513F">
            <w:pPr>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auto"/>
          </w:tcPr>
          <w:p w:rsidR="00322039" w:rsidRPr="00E536A2" w:rsidRDefault="00322039" w:rsidP="0072513F">
            <w:pPr>
              <w:cnfStyle w:val="000000000000" w:firstRow="0" w:lastRow="0" w:firstColumn="0" w:lastColumn="0" w:oddVBand="0" w:evenVBand="0" w:oddHBand="0" w:evenHBand="0" w:firstRowFirstColumn="0" w:firstRowLastColumn="0" w:lastRowFirstColumn="0" w:lastRowLastColumn="0"/>
              <w:rPr>
                <w:color w:val="C00000"/>
              </w:rPr>
            </w:pPr>
          </w:p>
        </w:tc>
      </w:tr>
    </w:tbl>
    <w:p w:rsidR="0074147B" w:rsidRPr="00196044" w:rsidRDefault="0074147B" w:rsidP="003571D9">
      <w:pPr>
        <w:shd w:val="clear" w:color="auto" w:fill="FFFFFF" w:themeFill="background1"/>
      </w:pPr>
    </w:p>
    <w:sectPr w:rsidR="0074147B" w:rsidRPr="00196044" w:rsidSect="00EA374E">
      <w:headerReference w:type="default" r:id="rId45"/>
      <w:pgSz w:w="20160" w:h="12240" w:orient="landscape" w:code="5"/>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C65" w:rsidRDefault="009B2C65" w:rsidP="009B2C65">
      <w:pPr>
        <w:spacing w:after="0" w:line="240" w:lineRule="auto"/>
      </w:pPr>
      <w:r>
        <w:separator/>
      </w:r>
    </w:p>
  </w:endnote>
  <w:endnote w:type="continuationSeparator" w:id="0">
    <w:p w:rsidR="009B2C65" w:rsidRDefault="009B2C65" w:rsidP="009B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C65" w:rsidRDefault="009B2C65" w:rsidP="009B2C65">
      <w:pPr>
        <w:spacing w:after="0" w:line="240" w:lineRule="auto"/>
      </w:pPr>
      <w:r>
        <w:separator/>
      </w:r>
    </w:p>
  </w:footnote>
  <w:footnote w:type="continuationSeparator" w:id="0">
    <w:p w:rsidR="009B2C65" w:rsidRDefault="009B2C65" w:rsidP="009B2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C65" w:rsidRPr="0092169B" w:rsidRDefault="009B2C65" w:rsidP="009B2C65">
    <w:pPr>
      <w:tabs>
        <w:tab w:val="left" w:pos="18630"/>
      </w:tabs>
      <w:spacing w:line="240" w:lineRule="auto"/>
      <w:ind w:right="90"/>
      <w:contextualSpacing/>
      <w:jc w:val="center"/>
      <w:rPr>
        <w:b/>
        <w:sz w:val="32"/>
        <w:szCs w:val="32"/>
      </w:rPr>
    </w:pPr>
    <w:r w:rsidRPr="0092169B">
      <w:rPr>
        <w:b/>
        <w:sz w:val="32"/>
        <w:szCs w:val="32"/>
      </w:rPr>
      <w:t>Evaluating the Impact of APR-Based Resource Allocation</w:t>
    </w:r>
  </w:p>
  <w:p w:rsidR="009B2C65" w:rsidRPr="0092169B" w:rsidRDefault="009B2C65" w:rsidP="009B2C65">
    <w:pPr>
      <w:spacing w:line="240" w:lineRule="auto"/>
      <w:ind w:firstLine="720"/>
      <w:contextualSpacing/>
      <w:jc w:val="center"/>
      <w:rPr>
        <w:b/>
        <w:sz w:val="32"/>
        <w:szCs w:val="32"/>
      </w:rPr>
    </w:pPr>
    <w:r>
      <w:rPr>
        <w:b/>
        <w:sz w:val="32"/>
        <w:szCs w:val="32"/>
      </w:rPr>
      <w:t xml:space="preserve">Impact of </w:t>
    </w:r>
    <w:hyperlink r:id="rId1" w:history="1">
      <w:r w:rsidRPr="001064B2">
        <w:rPr>
          <w:rStyle w:val="Hyperlink"/>
          <w:b/>
          <w:sz w:val="32"/>
          <w:szCs w:val="32"/>
        </w:rPr>
        <w:t>Funded APR 2018-19 Goals</w:t>
      </w:r>
    </w:hyperlink>
    <w:r>
      <w:rPr>
        <w:b/>
        <w:sz w:val="32"/>
        <w:szCs w:val="32"/>
      </w:rPr>
      <w:t xml:space="preserve">, as Documented in 2019-2020 APR Reports </w:t>
    </w:r>
  </w:p>
  <w:p w:rsidR="009B2C65" w:rsidRDefault="009B2C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95CF9"/>
    <w:multiLevelType w:val="hybridMultilevel"/>
    <w:tmpl w:val="512C742E"/>
    <w:lvl w:ilvl="0" w:tplc="9648F1AE">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65"/>
    <w:rsid w:val="000726B4"/>
    <w:rsid w:val="000912B2"/>
    <w:rsid w:val="000A74DB"/>
    <w:rsid w:val="000B2513"/>
    <w:rsid w:val="000F754E"/>
    <w:rsid w:val="001064B2"/>
    <w:rsid w:val="00196044"/>
    <w:rsid w:val="001B3614"/>
    <w:rsid w:val="00322039"/>
    <w:rsid w:val="003266C7"/>
    <w:rsid w:val="003571D9"/>
    <w:rsid w:val="003C1B62"/>
    <w:rsid w:val="004D0D03"/>
    <w:rsid w:val="004D0DDA"/>
    <w:rsid w:val="00502657"/>
    <w:rsid w:val="00526B06"/>
    <w:rsid w:val="00555CDC"/>
    <w:rsid w:val="00672C46"/>
    <w:rsid w:val="00685FF8"/>
    <w:rsid w:val="0072513F"/>
    <w:rsid w:val="0074147B"/>
    <w:rsid w:val="008235A4"/>
    <w:rsid w:val="0088367D"/>
    <w:rsid w:val="00894093"/>
    <w:rsid w:val="008B6CCF"/>
    <w:rsid w:val="00931F70"/>
    <w:rsid w:val="00991735"/>
    <w:rsid w:val="009B2C65"/>
    <w:rsid w:val="00D121B5"/>
    <w:rsid w:val="00D33567"/>
    <w:rsid w:val="00E524BA"/>
    <w:rsid w:val="00E536A2"/>
    <w:rsid w:val="00E53F3A"/>
    <w:rsid w:val="00EA374E"/>
    <w:rsid w:val="00FB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FA56"/>
  <w15:chartTrackingRefBased/>
  <w15:docId w15:val="{BA69A4E0-9EC8-4879-98D9-D8789908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C65"/>
    <w:rPr>
      <w:color w:val="0563C1" w:themeColor="hyperlink"/>
      <w:u w:val="single"/>
    </w:rPr>
  </w:style>
  <w:style w:type="table" w:styleId="PlainTable1">
    <w:name w:val="Plain Table 1"/>
    <w:basedOn w:val="TableNormal"/>
    <w:uiPriority w:val="41"/>
    <w:rsid w:val="009B2C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B2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65"/>
  </w:style>
  <w:style w:type="paragraph" w:styleId="Footer">
    <w:name w:val="footer"/>
    <w:basedOn w:val="Normal"/>
    <w:link w:val="FooterChar"/>
    <w:uiPriority w:val="99"/>
    <w:unhideWhenUsed/>
    <w:rsid w:val="009B2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65"/>
  </w:style>
  <w:style w:type="paragraph" w:customStyle="1" w:styleId="Default">
    <w:name w:val="Default"/>
    <w:rsid w:val="000726B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726B4"/>
    <w:pPr>
      <w:ind w:left="720"/>
      <w:contextualSpacing/>
    </w:pPr>
  </w:style>
  <w:style w:type="character" w:styleId="FollowedHyperlink">
    <w:name w:val="FollowedHyperlink"/>
    <w:basedOn w:val="DefaultParagraphFont"/>
    <w:uiPriority w:val="99"/>
    <w:semiHidden/>
    <w:unhideWhenUsed/>
    <w:rsid w:val="003C1B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4849">
      <w:bodyDiv w:val="1"/>
      <w:marLeft w:val="0"/>
      <w:marRight w:val="0"/>
      <w:marTop w:val="0"/>
      <w:marBottom w:val="0"/>
      <w:divBdr>
        <w:top w:val="none" w:sz="0" w:space="0" w:color="auto"/>
        <w:left w:val="none" w:sz="0" w:space="0" w:color="auto"/>
        <w:bottom w:val="none" w:sz="0" w:space="0" w:color="auto"/>
        <w:right w:val="none" w:sz="0" w:space="0" w:color="auto"/>
      </w:divBdr>
    </w:div>
    <w:div w:id="177498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Wb49YzcfWhTXp6uIA-NRKci-2iK3eRiL/view" TargetMode="External"/><Relationship Id="rId13" Type="http://schemas.openxmlformats.org/officeDocument/2006/relationships/hyperlink" Target="http://ct-prod-wp.taftcollege.edu/iarp/wp-content/uploads/sites/5/2019/01/Math-2_1819.pdf" TargetMode="External"/><Relationship Id="rId18" Type="http://schemas.openxmlformats.org/officeDocument/2006/relationships/hyperlink" Target="https://drive.google.com/file/d/1oxmATO7cLCb9IPH6YBLI28QdnEE_mPxv/view" TargetMode="External"/><Relationship Id="rId26" Type="http://schemas.openxmlformats.org/officeDocument/2006/relationships/hyperlink" Target="https://drive.google.com/file/d/17VDwYgyu7v6ZpRdCmqfT-yM_9WnHTc0K/view" TargetMode="External"/><Relationship Id="rId39" Type="http://schemas.openxmlformats.org/officeDocument/2006/relationships/hyperlink" Target="http://ct-prod-wp.taftcollege.edu/iarp/wp-content/uploads/sites/5/2019/02/Maintenance-and-Operations_3_1819.pdf" TargetMode="External"/><Relationship Id="rId3" Type="http://schemas.openxmlformats.org/officeDocument/2006/relationships/settings" Target="settings.xml"/><Relationship Id="rId21" Type="http://schemas.openxmlformats.org/officeDocument/2006/relationships/hyperlink" Target="https://drive.google.com/file/d/17VDwYgyu7v6ZpRdCmqfT-yM_9WnHTc0K/view" TargetMode="External"/><Relationship Id="rId34" Type="http://schemas.openxmlformats.org/officeDocument/2006/relationships/hyperlink" Target="https://drive.google.com/file/d/1CE58tEkStCI0ra_H1eDwL-NzPw5HqLow/view" TargetMode="External"/><Relationship Id="rId42" Type="http://schemas.openxmlformats.org/officeDocument/2006/relationships/hyperlink" Target="https://drive.google.com/file/d/1CE58tEkStCI0ra_H1eDwL-NzPw5HqLow/view" TargetMode="External"/><Relationship Id="rId47" Type="http://schemas.openxmlformats.org/officeDocument/2006/relationships/theme" Target="theme/theme1.xml"/><Relationship Id="rId7" Type="http://schemas.openxmlformats.org/officeDocument/2006/relationships/hyperlink" Target="http://ct-prod-wp.taftcollege.edu/iarp/wp-content/uploads/sites/5/2019/02/Natural-and-Life-Sciences_1_1819.pdf" TargetMode="External"/><Relationship Id="rId12" Type="http://schemas.openxmlformats.org/officeDocument/2006/relationships/hyperlink" Target="https://drive.google.com/file/d/1Q1tlmVKNYT4O4ck-3twEyXQg4c5HeuCr/view" TargetMode="External"/><Relationship Id="rId17" Type="http://schemas.openxmlformats.org/officeDocument/2006/relationships/hyperlink" Target="http://ct-prod-wp.taftcollege.edu/iarp/wp-content/uploads/sites/5/2019/01/Dental-Hygiene_1_1819.pdf" TargetMode="External"/><Relationship Id="rId25" Type="http://schemas.openxmlformats.org/officeDocument/2006/relationships/hyperlink" Target="https://drive.google.com/file/d/1E-I7dQtGLOYHeMRkrxFDa04Bfne9xJHp/view" TargetMode="External"/><Relationship Id="rId33" Type="http://schemas.openxmlformats.org/officeDocument/2006/relationships/hyperlink" Target="https://nova.cccco.edu/sep/reporting/mid-allocation/6858/preview" TargetMode="External"/><Relationship Id="rId38" Type="http://schemas.openxmlformats.org/officeDocument/2006/relationships/hyperlink" Target="https://drive.google.com/file/d/1xQftTF42BhVdi4FqeukspHYThGmMQJiz/view"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rive.google.com/file/d/1GRSIvR11j-gbmDYLi514wi-WAtt_YQUY/view" TargetMode="External"/><Relationship Id="rId20" Type="http://schemas.openxmlformats.org/officeDocument/2006/relationships/hyperlink" Target="https://drive.google.com/file/d/1E-I7dQtGLOYHeMRkrxFDa04Bfne9xJHp/view" TargetMode="External"/><Relationship Id="rId29" Type="http://schemas.openxmlformats.org/officeDocument/2006/relationships/hyperlink" Target="http://ct-prod-wp.taftcollege.edu/iarp/wp-content/uploads/sites/5/2019/01/Office-of-Student-Services-_1_1819.pdf" TargetMode="External"/><Relationship Id="rId41" Type="http://schemas.openxmlformats.org/officeDocument/2006/relationships/hyperlink" Target="http://ct-prod-wp.taftcollege.edu/iarp/wp-content/uploads/sites/5/2019/04/Office-of-Student-Services_2_18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t-prod-wp.taftcollege.edu/iarp/wp-content/uploads/sites/5/2019/01/Distance-Education-Support_1_1819.pdf" TargetMode="External"/><Relationship Id="rId24" Type="http://schemas.openxmlformats.org/officeDocument/2006/relationships/hyperlink" Target="http://ct-prod-wp.taftcollege.edu/iarp/wp-content/uploads/sites/5/2019/02/Information-Technology-Services_6_1819.pdf" TargetMode="External"/><Relationship Id="rId32" Type="http://schemas.openxmlformats.org/officeDocument/2006/relationships/hyperlink" Target="https://nova.cccco.edu/iplan/fiscal-reports/proposals/2139" TargetMode="External"/><Relationship Id="rId37" Type="http://schemas.openxmlformats.org/officeDocument/2006/relationships/hyperlink" Target="http://www.taftcollege.edu/iarp/wp-content/uploads/sites/75/2019/08/Maintenance-and-Operations_2_1819.pdf" TargetMode="External"/><Relationship Id="rId40" Type="http://schemas.openxmlformats.org/officeDocument/2006/relationships/hyperlink" Target="https://drive.google.com/file/d/1xQftTF42BhVdi4FqeukspHYThGmMQJiz/view"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t-prod-wp.taftcollege.edu/iarp/wp-content/uploads/sites/5/2019/02/Athletics_5_1819.pdf" TargetMode="External"/><Relationship Id="rId23" Type="http://schemas.openxmlformats.org/officeDocument/2006/relationships/hyperlink" Target="https://drive.google.com/file/d/1_GCxDPAONQYKZoUCAEDvu3kDwUVUH7E6/view" TargetMode="External"/><Relationship Id="rId28" Type="http://schemas.openxmlformats.org/officeDocument/2006/relationships/hyperlink" Target="https://drive.google.com/file/d/1r6Lj_zwixSp5HOnH5UMpOHLfrnHHDOyn/view" TargetMode="External"/><Relationship Id="rId36" Type="http://schemas.openxmlformats.org/officeDocument/2006/relationships/hyperlink" Target="https://drive.google.com/file/d/1xQftTF42BhVdi4FqeukspHYThGmMQJiz/view" TargetMode="External"/><Relationship Id="rId10" Type="http://schemas.openxmlformats.org/officeDocument/2006/relationships/hyperlink" Target="https://drive.google.com/file/d/1ZMRRRGsSSdTx5es0Jc7i4Xph6_lebGQg/view" TargetMode="External"/><Relationship Id="rId19" Type="http://schemas.openxmlformats.org/officeDocument/2006/relationships/hyperlink" Target="http://ct-prod-wp.taftcollege.edu/iarp/wp-content/uploads/sites/5/2019/02/Information-Technology-Services_2_1819.pdf" TargetMode="External"/><Relationship Id="rId31" Type="http://schemas.openxmlformats.org/officeDocument/2006/relationships/hyperlink" Target="https://nova.cccco.edu/sep/plans/6858/preview" TargetMode="External"/><Relationship Id="rId44" Type="http://schemas.openxmlformats.org/officeDocument/2006/relationships/hyperlink" Target="https://drive.google.com/file/d/1OJ_oV87Qzko9TWf6YSDdQ-9wyiNfe_hw/view" TargetMode="External"/><Relationship Id="rId4" Type="http://schemas.openxmlformats.org/officeDocument/2006/relationships/webSettings" Target="webSettings.xml"/><Relationship Id="rId9" Type="http://schemas.openxmlformats.org/officeDocument/2006/relationships/hyperlink" Target="http://ct-prod-wp.taftcollege.edu/iarp/wp-content/uploads/sites/5/2019/02/English_2_1819.pdf" TargetMode="External"/><Relationship Id="rId14" Type="http://schemas.openxmlformats.org/officeDocument/2006/relationships/hyperlink" Target="https://drive.google.com/file/d/1V3Bjm5h6ZKlwj9NoKsKFU6Ii0iKJdHjE/view" TargetMode="External"/><Relationship Id="rId22" Type="http://schemas.openxmlformats.org/officeDocument/2006/relationships/hyperlink" Target="http://ct-prod-wp.taftcollege.edu/iarp/wp-content/uploads/sites/5/2019/02/Fiscal-Services_1_1819.pdf" TargetMode="External"/><Relationship Id="rId27" Type="http://schemas.openxmlformats.org/officeDocument/2006/relationships/hyperlink" Target="http://ct-prod-wp.taftcollege.edu/iarp/wp-content/uploads/sites/5/2019/01/Tutoring-3_1819.pdf" TargetMode="External"/><Relationship Id="rId30" Type="http://schemas.openxmlformats.org/officeDocument/2006/relationships/hyperlink" Target="https://d6jtdo9jhz4ae.cloudfront.net/clarify" TargetMode="External"/><Relationship Id="rId35" Type="http://schemas.openxmlformats.org/officeDocument/2006/relationships/hyperlink" Target="http://www.taftcollege.edu/iarp/wp-content/uploads/sites/75/2019/08/Maintenance-and-Operations_2_1819.pdf" TargetMode="External"/><Relationship Id="rId43" Type="http://schemas.openxmlformats.org/officeDocument/2006/relationships/hyperlink" Target="http://ct-prod-wp.taftcollege.edu/iarp/wp-content/uploads/sites/5/2019/02/ECEF_2_1819.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2020/02/18-19-Program-Review-Funded-Items-2-6-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12</Pages>
  <Words>4812</Words>
  <Characters>27433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Young</dc:creator>
  <cp:keywords/>
  <dc:description/>
  <cp:lastModifiedBy>Brandy Young</cp:lastModifiedBy>
  <cp:revision>13</cp:revision>
  <dcterms:created xsi:type="dcterms:W3CDTF">2020-02-19T23:12:00Z</dcterms:created>
  <dcterms:modified xsi:type="dcterms:W3CDTF">2020-02-20T22:44:00Z</dcterms:modified>
</cp:coreProperties>
</file>